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4C" w:rsidRPr="000E3CFF" w:rsidRDefault="0055684C" w:rsidP="00FB20E5">
      <w:pPr>
        <w:adjustRightInd w:val="0"/>
        <w:snapToGrid w:val="0"/>
        <w:spacing w:after="0" w:line="360" w:lineRule="exact"/>
        <w:jc w:val="center"/>
        <w:rPr>
          <w:rFonts w:ascii="標楷體" w:eastAsia="標楷體" w:hAnsi="標楷體"/>
          <w:sz w:val="24"/>
          <w:szCs w:val="24"/>
          <w:lang w:eastAsia="zh-TW"/>
        </w:rPr>
      </w:pP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金門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縣111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學年度精進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國民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中小學教師教學專業與課程品質整體推動計畫</w:t>
      </w:r>
    </w:p>
    <w:p w:rsidR="0055684C" w:rsidRPr="000E3CFF" w:rsidRDefault="0055684C" w:rsidP="00FB20E5">
      <w:pPr>
        <w:adjustRightInd w:val="0"/>
        <w:snapToGrid w:val="0"/>
        <w:spacing w:after="0" w:line="360" w:lineRule="exact"/>
        <w:jc w:val="center"/>
        <w:rPr>
          <w:rFonts w:ascii="標楷體" w:eastAsia="標楷體" w:hAnsi="標楷體"/>
          <w:sz w:val="24"/>
          <w:szCs w:val="24"/>
          <w:lang w:eastAsia="zh-TW"/>
        </w:rPr>
      </w:pP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國民教育輔導團藝術領域輔導小組</w:t>
      </w:r>
    </w:p>
    <w:p w:rsidR="0055684C" w:rsidRPr="000E3CFF" w:rsidRDefault="0055684C" w:rsidP="00FB20E5">
      <w:pPr>
        <w:adjustRightInd w:val="0"/>
        <w:snapToGrid w:val="0"/>
        <w:spacing w:after="0" w:line="360" w:lineRule="exact"/>
        <w:jc w:val="center"/>
        <w:rPr>
          <w:rFonts w:ascii="標楷體" w:eastAsia="標楷體" w:hAnsi="標楷體"/>
          <w:b/>
          <w:sz w:val="28"/>
          <w:szCs w:val="24"/>
          <w:u w:val="single"/>
          <w:lang w:eastAsia="zh-TW"/>
        </w:rPr>
      </w:pPr>
      <w:r w:rsidRPr="000E3CFF">
        <w:rPr>
          <w:rFonts w:ascii="標楷體" w:eastAsia="標楷體" w:hAnsi="標楷體" w:hint="eastAsia"/>
          <w:b/>
          <w:sz w:val="28"/>
          <w:szCs w:val="24"/>
          <w:u w:val="single"/>
          <w:lang w:eastAsia="zh-TW"/>
        </w:rPr>
        <w:t>「增能研習─藝起來線上學習」</w:t>
      </w:r>
      <w:r w:rsidRPr="000E3CFF">
        <w:rPr>
          <w:rFonts w:ascii="標楷體" w:eastAsia="標楷體" w:hAnsi="標楷體"/>
          <w:b/>
          <w:sz w:val="28"/>
          <w:szCs w:val="24"/>
          <w:u w:val="single"/>
          <w:lang w:eastAsia="zh-TW"/>
        </w:rPr>
        <w:t>實施計畫</w:t>
      </w:r>
    </w:p>
    <w:p w:rsidR="0055684C" w:rsidRPr="000E3CFF" w:rsidRDefault="0055684C" w:rsidP="00FB20E5">
      <w:pPr>
        <w:autoSpaceDE w:val="0"/>
        <w:autoSpaceDN w:val="0"/>
        <w:adjustRightInd w:val="0"/>
        <w:snapToGrid w:val="0"/>
        <w:spacing w:after="0" w:line="3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E3CFF">
        <w:rPr>
          <w:rFonts w:ascii="標楷體" w:eastAsia="標楷體" w:hAnsi="標楷體"/>
          <w:sz w:val="24"/>
          <w:szCs w:val="24"/>
          <w:lang w:eastAsia="zh-TW"/>
        </w:rPr>
        <w:t>一、依據</w:t>
      </w:r>
    </w:p>
    <w:p w:rsidR="0055684C" w:rsidRPr="000E3CFF" w:rsidRDefault="0055684C" w:rsidP="00FB20E5">
      <w:pPr>
        <w:autoSpaceDE w:val="0"/>
        <w:autoSpaceDN w:val="0"/>
        <w:adjustRightInd w:val="0"/>
        <w:snapToGrid w:val="0"/>
        <w:spacing w:after="0" w:line="360" w:lineRule="exact"/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0E3CFF">
        <w:rPr>
          <w:rFonts w:ascii="標楷體" w:eastAsia="標楷體" w:hAnsi="標楷體"/>
          <w:sz w:val="24"/>
          <w:szCs w:val="24"/>
          <w:lang w:eastAsia="zh-TW"/>
        </w:rPr>
        <w:t>（一）教育部補助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直轄市、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縣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（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市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）政府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精進國</w:t>
      </w:r>
      <w:bookmarkStart w:id="0" w:name="_GoBack"/>
      <w:bookmarkEnd w:id="0"/>
      <w:r w:rsidRPr="000E3CFF">
        <w:rPr>
          <w:rFonts w:ascii="標楷體" w:eastAsia="標楷體" w:hAnsi="標楷體"/>
          <w:sz w:val="24"/>
          <w:szCs w:val="24"/>
          <w:lang w:eastAsia="zh-TW"/>
        </w:rPr>
        <w:t>民中學及國民小學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教師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教學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專業與課程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品質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作業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要點。</w:t>
      </w:r>
    </w:p>
    <w:p w:rsidR="0055684C" w:rsidRPr="000E3CFF" w:rsidRDefault="0055684C" w:rsidP="00FB20E5">
      <w:pPr>
        <w:autoSpaceDE w:val="0"/>
        <w:autoSpaceDN w:val="0"/>
        <w:adjustRightInd w:val="0"/>
        <w:snapToGrid w:val="0"/>
        <w:spacing w:after="0" w:line="3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E3CFF">
        <w:rPr>
          <w:rFonts w:ascii="標楷體" w:eastAsia="標楷體" w:hAnsi="標楷體"/>
          <w:sz w:val="24"/>
          <w:szCs w:val="24"/>
          <w:lang w:eastAsia="zh-TW"/>
        </w:rPr>
        <w:t>（二）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金門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縣111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學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年度精進國民中小學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教師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教學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專業與課程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品質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整體推動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計畫。</w:t>
      </w:r>
    </w:p>
    <w:p w:rsidR="0055684C" w:rsidRPr="000E3CFF" w:rsidRDefault="0055684C" w:rsidP="00FB20E5">
      <w:pPr>
        <w:autoSpaceDE w:val="0"/>
        <w:autoSpaceDN w:val="0"/>
        <w:adjustRightInd w:val="0"/>
        <w:snapToGrid w:val="0"/>
        <w:spacing w:after="0" w:line="3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E3CFF">
        <w:rPr>
          <w:rFonts w:ascii="標楷體" w:eastAsia="標楷體" w:hAnsi="標楷體"/>
          <w:sz w:val="24"/>
          <w:szCs w:val="24"/>
          <w:lang w:eastAsia="zh-TW"/>
        </w:rPr>
        <w:t>（三）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金門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縣111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學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年度國民教育輔導團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整體團務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計畫。</w:t>
      </w:r>
    </w:p>
    <w:p w:rsidR="0055684C" w:rsidRPr="000E3CFF" w:rsidRDefault="0055684C" w:rsidP="00FB20E5">
      <w:pPr>
        <w:adjustRightInd w:val="0"/>
        <w:snapToGrid w:val="0"/>
        <w:spacing w:after="0" w:line="3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二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、目的</w:t>
      </w:r>
    </w:p>
    <w:p w:rsidR="0055684C" w:rsidRPr="000E3CFF" w:rsidRDefault="0055684C" w:rsidP="00FB20E5">
      <w:pPr>
        <w:widowControl w:val="0"/>
        <w:snapToGrid w:val="0"/>
        <w:spacing w:after="0" w:line="3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0E3CFF">
        <w:rPr>
          <w:rFonts w:ascii="Times New Roman" w:eastAsia="標楷體" w:hAnsi="Times New Roman" w:hint="eastAsia"/>
          <w:sz w:val="24"/>
          <w:szCs w:val="24"/>
          <w:lang w:eastAsia="zh-TW"/>
        </w:rPr>
        <w:t>（一）藉由專家之指導提升縣內教師藝術學思達教學策略素養。</w:t>
      </w:r>
    </w:p>
    <w:p w:rsidR="0055684C" w:rsidRPr="000E3CFF" w:rsidRDefault="0055684C" w:rsidP="00FB20E5">
      <w:pPr>
        <w:widowControl w:val="0"/>
        <w:snapToGrid w:val="0"/>
        <w:spacing w:after="0" w:line="3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0E3CFF">
        <w:rPr>
          <w:rFonts w:ascii="Times New Roman" w:eastAsia="標楷體" w:hAnsi="Times New Roman" w:hint="eastAsia"/>
          <w:sz w:val="24"/>
          <w:szCs w:val="24"/>
          <w:lang w:eastAsia="zh-TW"/>
        </w:rPr>
        <w:t>（二）結合既有課程與素養導向多元評量實際運用於教學現場。</w:t>
      </w:r>
    </w:p>
    <w:p w:rsidR="0055684C" w:rsidRPr="000E3CFF" w:rsidRDefault="0055684C" w:rsidP="00FB20E5">
      <w:pPr>
        <w:adjustRightInd w:val="0"/>
        <w:snapToGrid w:val="0"/>
        <w:spacing w:after="0" w:line="3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、辦理單位</w:t>
      </w:r>
    </w:p>
    <w:p w:rsidR="0055684C" w:rsidRPr="000E3CFF" w:rsidRDefault="0055684C" w:rsidP="00FB20E5">
      <w:pPr>
        <w:adjustRightInd w:val="0"/>
        <w:snapToGrid w:val="0"/>
        <w:spacing w:after="0" w:line="3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E3CFF">
        <w:rPr>
          <w:rFonts w:ascii="標楷體" w:eastAsia="標楷體" w:hAnsi="標楷體"/>
          <w:sz w:val="24"/>
          <w:szCs w:val="24"/>
          <w:lang w:eastAsia="zh-TW"/>
        </w:rPr>
        <w:t>（一）指導單位：教育部國民及學前教育署</w:t>
      </w:r>
      <w:r w:rsidR="00672D1E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55684C" w:rsidRPr="000E3CFF" w:rsidRDefault="0055684C" w:rsidP="00FB20E5">
      <w:pPr>
        <w:adjustRightInd w:val="0"/>
        <w:snapToGrid w:val="0"/>
        <w:spacing w:after="0" w:line="3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E3CFF">
        <w:rPr>
          <w:rFonts w:ascii="標楷體" w:eastAsia="標楷體" w:hAnsi="標楷體"/>
          <w:sz w:val="24"/>
          <w:szCs w:val="24"/>
          <w:lang w:eastAsia="zh-TW"/>
        </w:rPr>
        <w:t>（二）主辦單位：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金門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縣政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府</w:t>
      </w:r>
      <w:r w:rsidR="00672D1E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55684C" w:rsidRPr="000E3CFF" w:rsidRDefault="0055684C" w:rsidP="00FB20E5">
      <w:pPr>
        <w:adjustRightInd w:val="0"/>
        <w:snapToGrid w:val="0"/>
        <w:spacing w:after="0" w:line="3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E3CFF">
        <w:rPr>
          <w:rFonts w:ascii="標楷體" w:eastAsia="標楷體" w:hAnsi="標楷體"/>
          <w:sz w:val="24"/>
          <w:szCs w:val="24"/>
          <w:lang w:eastAsia="zh-TW"/>
        </w:rPr>
        <w:t>（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）承辦單位：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國中小藝術領域輔導小組</w:t>
      </w:r>
      <w:r w:rsidR="00672D1E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55684C" w:rsidRPr="000E3CFF" w:rsidRDefault="0055684C" w:rsidP="00FB20E5">
      <w:pPr>
        <w:adjustRightInd w:val="0"/>
        <w:snapToGrid w:val="0"/>
        <w:spacing w:after="0" w:line="3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四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、辦理日期及地點</w:t>
      </w:r>
    </w:p>
    <w:p w:rsidR="0055684C" w:rsidRPr="000E3CFF" w:rsidRDefault="0055684C" w:rsidP="00FB20E5">
      <w:pPr>
        <w:adjustRightInd w:val="0"/>
        <w:snapToGrid w:val="0"/>
        <w:spacing w:after="0" w:line="3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（一）日期：11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年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12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17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日(星期六)</w:t>
      </w:r>
      <w:r w:rsidR="00672D1E">
        <w:rPr>
          <w:rFonts w:ascii="標楷體" w:eastAsia="標楷體" w:hAnsi="標楷體" w:hint="eastAsia"/>
          <w:sz w:val="24"/>
          <w:szCs w:val="24"/>
          <w:lang w:eastAsia="zh-TW"/>
        </w:rPr>
        <w:t>上午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55684C" w:rsidRPr="000E3CFF" w:rsidRDefault="0055684C" w:rsidP="00FB20E5">
      <w:pPr>
        <w:adjustRightInd w:val="0"/>
        <w:snapToGrid w:val="0"/>
        <w:spacing w:after="0" w:line="360" w:lineRule="exact"/>
        <w:ind w:left="708" w:hangingChars="295" w:hanging="708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（二）地點：線上採</w:t>
      </w:r>
      <w:r w:rsidRPr="00814619">
        <w:rPr>
          <w:rFonts w:ascii="Times New Roman" w:eastAsia="標楷體" w:hAnsi="Times New Roman"/>
          <w:sz w:val="24"/>
          <w:szCs w:val="24"/>
          <w:lang w:eastAsia="zh-TW"/>
        </w:rPr>
        <w:t>Google Meet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方式進行。</w:t>
      </w:r>
      <w:r w:rsidR="00786092" w:rsidRPr="004172E3">
        <w:rPr>
          <w:rFonts w:ascii="標楷體" w:eastAsia="標楷體" w:hAnsi="標楷體" w:hint="eastAsia"/>
          <w:sz w:val="24"/>
          <w:szCs w:val="24"/>
          <w:lang w:eastAsia="zh-TW"/>
        </w:rPr>
        <w:t>報到時間開放登入</w:t>
      </w:r>
      <w:r w:rsidR="00786092" w:rsidRPr="00814619">
        <w:rPr>
          <w:rFonts w:ascii="Times New Roman" w:eastAsia="標楷體" w:hAnsi="Times New Roman"/>
          <w:sz w:val="24"/>
          <w:szCs w:val="24"/>
          <w:lang w:eastAsia="zh-TW"/>
        </w:rPr>
        <w:t>Google Mee</w:t>
      </w:r>
      <w:r w:rsidR="00786092" w:rsidRPr="004172E3">
        <w:rPr>
          <w:rFonts w:ascii="標楷體" w:eastAsia="標楷體" w:hAnsi="標楷體" w:hint="eastAsia"/>
          <w:sz w:val="24"/>
          <w:szCs w:val="24"/>
          <w:lang w:eastAsia="zh-TW"/>
        </w:rPr>
        <w:t>t會議室，會議代碼：</w:t>
      </w:r>
      <w:r w:rsidR="00814619" w:rsidRPr="00814619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="00814619" w:rsidRPr="00814619">
        <w:rPr>
          <w:rFonts w:ascii="Times New Roman" w:eastAsia="標楷體" w:hAnsi="Times New Roman"/>
          <w:sz w:val="24"/>
          <w:szCs w:val="24"/>
          <w:lang w:eastAsia="zh-TW"/>
        </w:rPr>
        <w:t>aqe-haod-cwy</w:t>
      </w:r>
      <w:r w:rsidR="00786092" w:rsidRPr="004172E3">
        <w:rPr>
          <w:rFonts w:ascii="標楷體" w:eastAsia="標楷體" w:hAnsi="標楷體" w:hint="eastAsia"/>
          <w:sz w:val="24"/>
          <w:szCs w:val="24"/>
          <w:lang w:eastAsia="zh-TW"/>
        </w:rPr>
        <w:t>。請關閉麥克風進入，測試音響是否正常、畫面是否順暢，確認後請靜待課程開始。</w:t>
      </w:r>
    </w:p>
    <w:p w:rsidR="0055684C" w:rsidRPr="00AA6BC3" w:rsidRDefault="0055684C" w:rsidP="00FB20E5">
      <w:pPr>
        <w:adjustRightInd w:val="0"/>
        <w:snapToGrid w:val="0"/>
        <w:spacing w:after="0" w:line="360" w:lineRule="exact"/>
        <w:ind w:left="2410" w:hangingChars="1004" w:hanging="2410"/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五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、參加對象與人數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940AAF">
        <w:rPr>
          <w:rFonts w:ascii="標楷體" w:eastAsia="標楷體" w:hAnsi="標楷體" w:hint="eastAsia"/>
          <w:sz w:val="24"/>
          <w:szCs w:val="24"/>
          <w:lang w:eastAsia="zh-TW"/>
        </w:rPr>
        <w:t>輔導團成員及本縣國、中小各校</w:t>
      </w:r>
      <w:r w:rsidRPr="00AA6BC3">
        <w:rPr>
          <w:rFonts w:ascii="標楷體" w:eastAsia="標楷體" w:hAnsi="標楷體" w:hint="eastAsia"/>
          <w:sz w:val="24"/>
          <w:szCs w:val="24"/>
          <w:lang w:eastAsia="zh-TW"/>
        </w:rPr>
        <w:t>藝術領域召集人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優先參加，人數以30人為原則</w:t>
      </w:r>
      <w:r w:rsidR="00B54585">
        <w:rPr>
          <w:rFonts w:ascii="標楷體" w:eastAsia="標楷體" w:hAnsi="標楷體" w:hint="eastAsia"/>
          <w:sz w:val="24"/>
          <w:szCs w:val="24"/>
          <w:lang w:eastAsia="zh-TW"/>
        </w:rPr>
        <w:t>，經錄取後前卅名可獲贈書</w:t>
      </w:r>
      <w:r w:rsidR="00073E13">
        <w:rPr>
          <w:rFonts w:ascii="標楷體" w:eastAsia="標楷體" w:hAnsi="標楷體" w:hint="eastAsia"/>
          <w:sz w:val="24"/>
          <w:szCs w:val="24"/>
          <w:lang w:eastAsia="zh-TW"/>
        </w:rPr>
        <w:t>《點亮藝術力》</w:t>
      </w:r>
      <w:r w:rsidR="00B54585">
        <w:rPr>
          <w:rFonts w:ascii="標楷體" w:eastAsia="標楷體" w:hAnsi="標楷體" w:hint="eastAsia"/>
          <w:sz w:val="24"/>
          <w:szCs w:val="24"/>
          <w:lang w:eastAsia="zh-TW"/>
        </w:rPr>
        <w:t>。</w:t>
      </w:r>
      <w:r w:rsidR="00AA6BC3" w:rsidRPr="00AA6BC3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(各校藝術領域召集人請於報名時備註)</w:t>
      </w:r>
    </w:p>
    <w:p w:rsidR="0055684C" w:rsidRPr="000E3CFF" w:rsidRDefault="0055684C" w:rsidP="00FB20E5">
      <w:pPr>
        <w:adjustRightInd w:val="0"/>
        <w:snapToGrid w:val="0"/>
        <w:spacing w:afterLines="50" w:after="180" w:line="3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六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、研習內容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（課程時間與講師得視實際狀況調整）</w:t>
      </w:r>
    </w:p>
    <w:tbl>
      <w:tblPr>
        <w:tblW w:w="44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4902"/>
        <w:gridCol w:w="2221"/>
      </w:tblGrid>
      <w:tr w:rsidR="0055684C" w:rsidRPr="000E3CFF" w:rsidTr="003F0ABA">
        <w:trPr>
          <w:trHeight w:val="426"/>
          <w:jc w:val="center"/>
        </w:trPr>
        <w:tc>
          <w:tcPr>
            <w:tcW w:w="1171" w:type="pct"/>
            <w:shd w:val="clear" w:color="auto" w:fill="C6D9F1" w:themeFill="text2" w:themeFillTint="33"/>
            <w:vAlign w:val="center"/>
          </w:tcPr>
          <w:p w:rsidR="0055684C" w:rsidRPr="000E3CFF" w:rsidRDefault="0055684C" w:rsidP="00FB20E5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E3CFF">
              <w:rPr>
                <w:rFonts w:ascii="Times New Roman" w:eastAsia="標楷體" w:hAnsi="Times New Roman"/>
                <w:lang w:eastAsia="zh-TW"/>
              </w:rPr>
              <w:t>時間</w:t>
            </w:r>
          </w:p>
        </w:tc>
        <w:tc>
          <w:tcPr>
            <w:tcW w:w="2635" w:type="pct"/>
            <w:shd w:val="clear" w:color="auto" w:fill="C6D9F1" w:themeFill="text2" w:themeFillTint="33"/>
            <w:vAlign w:val="center"/>
          </w:tcPr>
          <w:p w:rsidR="0055684C" w:rsidRPr="000E3CFF" w:rsidRDefault="0055684C" w:rsidP="00FB20E5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E3CFF">
              <w:rPr>
                <w:rFonts w:ascii="Times New Roman" w:eastAsia="標楷體" w:hAnsi="Times New Roman"/>
                <w:lang w:eastAsia="zh-TW"/>
              </w:rPr>
              <w:t>課程內容</w:t>
            </w:r>
          </w:p>
        </w:tc>
        <w:tc>
          <w:tcPr>
            <w:tcW w:w="1195" w:type="pct"/>
            <w:shd w:val="clear" w:color="auto" w:fill="C6D9F1" w:themeFill="text2" w:themeFillTint="33"/>
            <w:vAlign w:val="center"/>
          </w:tcPr>
          <w:p w:rsidR="0055684C" w:rsidRPr="000E3CFF" w:rsidRDefault="0055684C" w:rsidP="00FB20E5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E3CFF">
              <w:rPr>
                <w:rFonts w:ascii="Times New Roman" w:eastAsia="標楷體" w:hAnsi="Times New Roman"/>
                <w:lang w:eastAsia="zh-TW"/>
              </w:rPr>
              <w:t>主持（負責）人</w:t>
            </w:r>
          </w:p>
        </w:tc>
      </w:tr>
      <w:tr w:rsidR="0055684C" w:rsidRPr="000E3CFF" w:rsidTr="003F0ABA">
        <w:trPr>
          <w:trHeight w:val="426"/>
          <w:jc w:val="center"/>
        </w:trPr>
        <w:tc>
          <w:tcPr>
            <w:tcW w:w="1171" w:type="pct"/>
            <w:vAlign w:val="center"/>
          </w:tcPr>
          <w:p w:rsidR="0055684C" w:rsidRPr="000E3CFF" w:rsidRDefault="0055684C" w:rsidP="00FB20E5">
            <w:pPr>
              <w:snapToGrid w:val="0"/>
              <w:spacing w:after="0" w:line="36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0E3CFF">
              <w:rPr>
                <w:rFonts w:ascii="標楷體" w:eastAsia="標楷體" w:hAnsi="標楷體"/>
                <w:lang w:eastAsia="zh-TW"/>
              </w:rPr>
              <w:t>08：40-09：00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vAlign w:val="center"/>
          </w:tcPr>
          <w:p w:rsidR="0055684C" w:rsidRPr="000E3CFF" w:rsidRDefault="0055684C" w:rsidP="00FB20E5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E3CFF">
              <w:rPr>
                <w:rFonts w:ascii="Times New Roman" w:eastAsia="標楷體" w:hAnsi="Times New Roman"/>
                <w:lang w:eastAsia="zh-TW"/>
              </w:rPr>
              <w:t>報</w:t>
            </w:r>
            <w:r w:rsidRPr="000E3CFF">
              <w:rPr>
                <w:rFonts w:ascii="Times New Roman" w:eastAsia="標楷體" w:hAnsi="Times New Roman"/>
                <w:lang w:eastAsia="zh-TW"/>
              </w:rPr>
              <w:t xml:space="preserve">  </w:t>
            </w:r>
            <w:r w:rsidRPr="000E3CFF">
              <w:rPr>
                <w:rFonts w:ascii="Times New Roman" w:eastAsia="標楷體" w:hAnsi="Times New Roman"/>
                <w:lang w:eastAsia="zh-TW"/>
              </w:rPr>
              <w:t>到</w:t>
            </w:r>
          </w:p>
        </w:tc>
        <w:tc>
          <w:tcPr>
            <w:tcW w:w="1195" w:type="pct"/>
            <w:tcBorders>
              <w:left w:val="single" w:sz="4" w:space="0" w:color="auto"/>
            </w:tcBorders>
            <w:vAlign w:val="center"/>
          </w:tcPr>
          <w:p w:rsidR="0055684C" w:rsidRPr="000E3CFF" w:rsidRDefault="0055684C" w:rsidP="00FB20E5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E3CFF">
              <w:rPr>
                <w:rFonts w:ascii="Times New Roman" w:eastAsia="標楷體" w:hAnsi="Times New Roman"/>
                <w:lang w:eastAsia="zh-TW"/>
              </w:rPr>
              <w:t>輔導員</w:t>
            </w:r>
          </w:p>
        </w:tc>
      </w:tr>
      <w:tr w:rsidR="0055684C" w:rsidRPr="000E3CFF" w:rsidTr="003F0ABA">
        <w:trPr>
          <w:trHeight w:val="426"/>
          <w:jc w:val="center"/>
        </w:trPr>
        <w:tc>
          <w:tcPr>
            <w:tcW w:w="1171" w:type="pct"/>
            <w:vAlign w:val="center"/>
          </w:tcPr>
          <w:p w:rsidR="0055684C" w:rsidRPr="000E3CFF" w:rsidRDefault="0055684C" w:rsidP="00FB20E5">
            <w:pPr>
              <w:snapToGrid w:val="0"/>
              <w:spacing w:after="0" w:line="36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0E3CFF">
              <w:rPr>
                <w:rFonts w:ascii="標楷體" w:eastAsia="標楷體" w:hAnsi="標楷體"/>
                <w:lang w:eastAsia="zh-TW"/>
              </w:rPr>
              <w:t>09：00-09：50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vAlign w:val="center"/>
          </w:tcPr>
          <w:p w:rsidR="0055684C" w:rsidRPr="00940AAF" w:rsidRDefault="0055684C" w:rsidP="00FB20E5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940AAF">
              <w:rPr>
                <w:rFonts w:ascii="Times New Roman" w:eastAsia="標楷體" w:hAnsi="Times New Roman" w:hint="eastAsia"/>
                <w:lang w:eastAsia="zh-TW"/>
              </w:rPr>
              <w:t>素養導向藝術學思達教學策略概述體驗</w:t>
            </w:r>
            <w:r w:rsidRPr="00940AAF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Pr="00940AAF">
              <w:rPr>
                <w:rFonts w:ascii="Times New Roman" w:eastAsia="標楷體" w:hAnsi="Times New Roman"/>
                <w:lang w:eastAsia="zh-TW"/>
              </w:rPr>
              <w:t>1h)</w:t>
            </w:r>
          </w:p>
        </w:tc>
        <w:tc>
          <w:tcPr>
            <w:tcW w:w="1195" w:type="pct"/>
            <w:vMerge w:val="restart"/>
            <w:tcBorders>
              <w:left w:val="single" w:sz="4" w:space="0" w:color="auto"/>
            </w:tcBorders>
            <w:vAlign w:val="center"/>
          </w:tcPr>
          <w:p w:rsidR="0055684C" w:rsidRPr="000E3CFF" w:rsidRDefault="0055684C" w:rsidP="00FB20E5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E3CFF">
              <w:rPr>
                <w:rFonts w:ascii="Times New Roman" w:eastAsia="標楷體" w:hAnsi="Times New Roman" w:hint="eastAsia"/>
                <w:lang w:eastAsia="zh-TW"/>
              </w:rPr>
              <w:t>新北市中和國中</w:t>
            </w:r>
            <w:r w:rsidRPr="000E3CFF">
              <w:rPr>
                <w:rFonts w:ascii="Times New Roman" w:eastAsia="標楷體" w:hAnsi="Times New Roman"/>
                <w:lang w:eastAsia="zh-TW"/>
              </w:rPr>
              <w:br/>
            </w:r>
            <w:r w:rsidRPr="000E3CFF">
              <w:rPr>
                <w:rFonts w:ascii="Times New Roman" w:eastAsia="標楷體" w:hAnsi="Times New Roman" w:hint="eastAsia"/>
                <w:lang w:eastAsia="zh-TW"/>
              </w:rPr>
              <w:t>孫菊君老師</w:t>
            </w:r>
          </w:p>
        </w:tc>
      </w:tr>
      <w:tr w:rsidR="0055684C" w:rsidRPr="000E3CFF" w:rsidTr="003F0ABA">
        <w:trPr>
          <w:trHeight w:val="426"/>
          <w:jc w:val="center"/>
        </w:trPr>
        <w:tc>
          <w:tcPr>
            <w:tcW w:w="1171" w:type="pct"/>
            <w:vAlign w:val="center"/>
          </w:tcPr>
          <w:p w:rsidR="0055684C" w:rsidRPr="000E3CFF" w:rsidRDefault="0055684C" w:rsidP="00FB20E5">
            <w:pPr>
              <w:snapToGrid w:val="0"/>
              <w:spacing w:after="0" w:line="36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0E3CFF">
              <w:rPr>
                <w:rFonts w:ascii="標楷體" w:eastAsia="標楷體" w:hAnsi="標楷體"/>
                <w:lang w:eastAsia="zh-TW"/>
              </w:rPr>
              <w:t>10：00-10：50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vAlign w:val="center"/>
          </w:tcPr>
          <w:p w:rsidR="0055684C" w:rsidRPr="00940AAF" w:rsidRDefault="0055684C" w:rsidP="00FB20E5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940AAF">
              <w:rPr>
                <w:rFonts w:ascii="Times New Roman" w:eastAsia="標楷體" w:hAnsi="Times New Roman" w:hint="eastAsia"/>
                <w:lang w:eastAsia="zh-TW"/>
              </w:rPr>
              <w:t>素養導向藝術學思達之教學後設與評量</w:t>
            </w:r>
            <w:r w:rsidRPr="00940AAF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Pr="00940AAF">
              <w:rPr>
                <w:rFonts w:ascii="Times New Roman" w:eastAsia="標楷體" w:hAnsi="Times New Roman"/>
                <w:lang w:eastAsia="zh-TW"/>
              </w:rPr>
              <w:t>1h)</w:t>
            </w:r>
          </w:p>
        </w:tc>
        <w:tc>
          <w:tcPr>
            <w:tcW w:w="1195" w:type="pct"/>
            <w:vMerge/>
            <w:tcBorders>
              <w:left w:val="single" w:sz="4" w:space="0" w:color="auto"/>
            </w:tcBorders>
            <w:vAlign w:val="center"/>
          </w:tcPr>
          <w:p w:rsidR="0055684C" w:rsidRPr="000E3CFF" w:rsidRDefault="0055684C" w:rsidP="00FB20E5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55684C" w:rsidRPr="000E3CFF" w:rsidTr="003F0ABA">
        <w:trPr>
          <w:trHeight w:val="426"/>
          <w:jc w:val="center"/>
        </w:trPr>
        <w:tc>
          <w:tcPr>
            <w:tcW w:w="1171" w:type="pct"/>
            <w:vAlign w:val="center"/>
          </w:tcPr>
          <w:p w:rsidR="0055684C" w:rsidRPr="000E3CFF" w:rsidRDefault="0055684C" w:rsidP="00FB20E5">
            <w:pPr>
              <w:snapToGrid w:val="0"/>
              <w:spacing w:after="0" w:line="36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0E3CFF">
              <w:rPr>
                <w:rFonts w:ascii="標楷體" w:eastAsia="標楷體" w:hAnsi="標楷體"/>
                <w:lang w:eastAsia="zh-TW"/>
              </w:rPr>
              <w:t>11：00-11：50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vAlign w:val="center"/>
          </w:tcPr>
          <w:p w:rsidR="0055684C" w:rsidRPr="00AA6BC3" w:rsidRDefault="0055684C" w:rsidP="00FB20E5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AA6BC3">
              <w:rPr>
                <w:rFonts w:ascii="Times New Roman" w:eastAsia="標楷體" w:hAnsi="Times New Roman" w:hint="eastAsia"/>
                <w:lang w:eastAsia="zh-TW"/>
              </w:rPr>
              <w:t>藝術社群運作與領導經驗分享與交流</w:t>
            </w:r>
            <w:r w:rsidRPr="00AA6BC3">
              <w:rPr>
                <w:rFonts w:ascii="Times New Roman" w:eastAsia="標楷體" w:hAnsi="Times New Roman" w:hint="eastAsia"/>
                <w:lang w:eastAsia="zh-TW"/>
              </w:rPr>
              <w:t xml:space="preserve"> (</w:t>
            </w:r>
            <w:r w:rsidRPr="00AA6BC3">
              <w:rPr>
                <w:rFonts w:ascii="Times New Roman" w:eastAsia="標楷體" w:hAnsi="Times New Roman"/>
                <w:lang w:eastAsia="zh-TW"/>
              </w:rPr>
              <w:t>1h)</w:t>
            </w:r>
          </w:p>
        </w:tc>
        <w:tc>
          <w:tcPr>
            <w:tcW w:w="1195" w:type="pct"/>
            <w:vMerge/>
            <w:tcBorders>
              <w:left w:val="single" w:sz="4" w:space="0" w:color="auto"/>
            </w:tcBorders>
            <w:vAlign w:val="center"/>
          </w:tcPr>
          <w:p w:rsidR="0055684C" w:rsidRPr="000E3CFF" w:rsidRDefault="0055684C" w:rsidP="00FB20E5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55684C" w:rsidRPr="000E3CFF" w:rsidTr="003F0ABA">
        <w:trPr>
          <w:trHeight w:val="426"/>
          <w:jc w:val="center"/>
        </w:trPr>
        <w:tc>
          <w:tcPr>
            <w:tcW w:w="1171" w:type="pct"/>
            <w:tcBorders>
              <w:bottom w:val="single" w:sz="4" w:space="0" w:color="auto"/>
            </w:tcBorders>
            <w:vAlign w:val="center"/>
          </w:tcPr>
          <w:p w:rsidR="0055684C" w:rsidRPr="000E3CFF" w:rsidRDefault="0055684C" w:rsidP="00FB20E5">
            <w:pPr>
              <w:snapToGrid w:val="0"/>
              <w:spacing w:after="0" w:line="36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0E3CFF">
              <w:rPr>
                <w:rFonts w:ascii="標楷體" w:eastAsia="標楷體" w:hAnsi="標楷體"/>
                <w:lang w:eastAsia="zh-TW"/>
              </w:rPr>
              <w:t>11：50-12：</w:t>
            </w:r>
            <w:r>
              <w:rPr>
                <w:rFonts w:ascii="標楷體" w:eastAsia="標楷體" w:hAnsi="標楷體" w:hint="eastAsia"/>
                <w:lang w:eastAsia="zh-TW"/>
              </w:rPr>
              <w:t>3</w:t>
            </w:r>
            <w:r w:rsidRPr="000E3CFF"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84C" w:rsidRPr="000E3CFF" w:rsidRDefault="0055684C" w:rsidP="00FB20E5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E3CFF">
              <w:rPr>
                <w:rFonts w:ascii="Times New Roman" w:eastAsia="標楷體" w:hAnsi="Times New Roman"/>
                <w:lang w:eastAsia="zh-TW"/>
              </w:rPr>
              <w:t>回饋與分享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684C" w:rsidRPr="000E3CFF" w:rsidRDefault="0055684C" w:rsidP="00FB20E5">
            <w:pPr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</w:tbl>
    <w:p w:rsidR="00FB20E5" w:rsidRPr="00FB20E5" w:rsidRDefault="0055684C" w:rsidP="00FB20E5">
      <w:pPr>
        <w:adjustRightInd w:val="0"/>
        <w:snapToGrid w:val="0"/>
        <w:spacing w:beforeLines="50" w:before="180" w:after="0" w:line="240" w:lineRule="exact"/>
        <w:ind w:leftChars="-3" w:left="2259" w:hangingChars="944" w:hanging="2266"/>
        <w:rPr>
          <w:rFonts w:ascii="標楷體" w:eastAsia="標楷體" w:hAnsi="標楷體"/>
          <w:sz w:val="24"/>
          <w:szCs w:val="24"/>
          <w:lang w:eastAsia="zh-TW"/>
        </w:rPr>
      </w:pPr>
      <w:r w:rsidRPr="00023AAE">
        <w:rPr>
          <w:rFonts w:ascii="標楷體" w:eastAsia="標楷體" w:hAnsi="標楷體" w:hint="eastAsia"/>
          <w:sz w:val="24"/>
          <w:szCs w:val="24"/>
          <w:lang w:eastAsia="zh-TW"/>
        </w:rPr>
        <w:t>七</w:t>
      </w:r>
      <w:r w:rsidRPr="00023AAE">
        <w:rPr>
          <w:rFonts w:ascii="標楷體" w:eastAsia="標楷體" w:hAnsi="標楷體"/>
          <w:sz w:val="24"/>
          <w:szCs w:val="24"/>
          <w:lang w:eastAsia="zh-TW"/>
        </w:rPr>
        <w:t>、經費來源與概算</w:t>
      </w:r>
      <w:r w:rsidR="00023AAE" w:rsidRPr="00023AAE">
        <w:rPr>
          <w:rFonts w:ascii="標楷體" w:eastAsia="標楷體" w:hAnsi="標楷體" w:hint="eastAsia"/>
          <w:sz w:val="24"/>
          <w:szCs w:val="24"/>
          <w:lang w:eastAsia="zh-TW"/>
        </w:rPr>
        <w:t>：由教育部補助各縣市辦理</w:t>
      </w:r>
      <w:r w:rsidR="00023AAE" w:rsidRPr="00FB20E5">
        <w:rPr>
          <w:rFonts w:ascii="標楷體" w:eastAsia="標楷體" w:hAnsi="標楷體" w:hint="eastAsia"/>
          <w:sz w:val="24"/>
          <w:szCs w:val="24"/>
          <w:lang w:eastAsia="zh-TW"/>
        </w:rPr>
        <w:t>精進國民中學及國民小學教師教學專業與課程品質</w:t>
      </w:r>
    </w:p>
    <w:p w:rsidR="0055684C" w:rsidRPr="00023AAE" w:rsidRDefault="00023AAE" w:rsidP="00FB20E5">
      <w:pPr>
        <w:adjustRightInd w:val="0"/>
        <w:snapToGrid w:val="0"/>
        <w:spacing w:beforeLines="50" w:before="180" w:after="0" w:line="240" w:lineRule="exact"/>
        <w:ind w:leftChars="1027" w:left="2259" w:firstLineChars="62" w:firstLine="149"/>
        <w:rPr>
          <w:rFonts w:ascii="標楷體" w:eastAsia="標楷體" w:hAnsi="標楷體"/>
          <w:sz w:val="24"/>
          <w:szCs w:val="24"/>
          <w:lang w:eastAsia="zh-TW"/>
        </w:rPr>
      </w:pPr>
      <w:r w:rsidRPr="00FB20E5">
        <w:rPr>
          <w:rFonts w:ascii="標楷體" w:eastAsia="標楷體" w:hAnsi="標楷體" w:hint="eastAsia"/>
          <w:sz w:val="24"/>
          <w:szCs w:val="24"/>
          <w:lang w:eastAsia="zh-TW"/>
        </w:rPr>
        <w:t>計畫項下支出。</w:t>
      </w:r>
    </w:p>
    <w:p w:rsidR="0055684C" w:rsidRPr="000E3CFF" w:rsidRDefault="0055684C" w:rsidP="00FB20E5">
      <w:pPr>
        <w:widowControl w:val="0"/>
        <w:snapToGrid w:val="0"/>
        <w:spacing w:after="0" w:line="36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八、</w:t>
      </w:r>
      <w:r w:rsidRPr="000E3CFF">
        <w:rPr>
          <w:rFonts w:ascii="標楷體" w:eastAsia="標楷體" w:hAnsi="標楷體"/>
          <w:sz w:val="24"/>
          <w:szCs w:val="24"/>
          <w:lang w:eastAsia="zh-TW"/>
        </w:rPr>
        <w:t>預期成效</w:t>
      </w:r>
    </w:p>
    <w:p w:rsidR="0055684C" w:rsidRPr="000E3CFF" w:rsidRDefault="0055684C" w:rsidP="00FB20E5">
      <w:pPr>
        <w:widowControl w:val="0"/>
        <w:snapToGrid w:val="0"/>
        <w:spacing w:after="0" w:line="360" w:lineRule="exact"/>
        <w:ind w:leftChars="100" w:left="220"/>
        <w:rPr>
          <w:rFonts w:ascii="Times New Roman" w:eastAsia="標楷體" w:hAnsi="Times New Roman"/>
          <w:sz w:val="24"/>
          <w:szCs w:val="24"/>
          <w:lang w:eastAsia="zh-TW"/>
        </w:rPr>
      </w:pP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(一)透過</w:t>
      </w:r>
      <w:r w:rsidRPr="000E3CFF">
        <w:rPr>
          <w:rFonts w:ascii="Times New Roman" w:eastAsia="標楷體" w:hAnsi="Times New Roman" w:hint="eastAsia"/>
          <w:sz w:val="24"/>
          <w:szCs w:val="24"/>
          <w:lang w:eastAsia="zh-TW"/>
        </w:rPr>
        <w:t>藝術學思達教學策略分享，讓教師習得多元創新教學方法。</w:t>
      </w:r>
    </w:p>
    <w:p w:rsidR="0057027D" w:rsidRDefault="0055684C" w:rsidP="00FB20E5">
      <w:pPr>
        <w:spacing w:line="360" w:lineRule="exact"/>
        <w:ind w:firstLineChars="100" w:firstLine="240"/>
        <w:rPr>
          <w:lang w:eastAsia="zh-TW"/>
        </w:rPr>
      </w:pP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(二)</w:t>
      </w:r>
      <w:r w:rsidRPr="000E3CFF">
        <w:rPr>
          <w:rFonts w:ascii="Times New Roman" w:eastAsia="標楷體" w:hAnsi="Times New Roman" w:hint="eastAsia"/>
          <w:sz w:val="24"/>
          <w:szCs w:val="24"/>
          <w:lang w:eastAsia="zh-TW"/>
        </w:rPr>
        <w:t>結合既有課程，</w:t>
      </w:r>
      <w:r w:rsidRPr="000E3CFF">
        <w:rPr>
          <w:rFonts w:ascii="標楷體" w:eastAsia="標楷體" w:hAnsi="標楷體" w:hint="eastAsia"/>
          <w:sz w:val="24"/>
          <w:szCs w:val="24"/>
          <w:lang w:eastAsia="zh-TW"/>
        </w:rPr>
        <w:t>建構更符應教學現場與課綱核心素養評量方式。</w:t>
      </w:r>
    </w:p>
    <w:sectPr w:rsidR="0057027D" w:rsidSect="005568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C2" w:rsidRDefault="00951BC2" w:rsidP="00AA6BC3">
      <w:pPr>
        <w:spacing w:after="0" w:line="240" w:lineRule="auto"/>
      </w:pPr>
      <w:r>
        <w:separator/>
      </w:r>
    </w:p>
  </w:endnote>
  <w:endnote w:type="continuationSeparator" w:id="0">
    <w:p w:rsidR="00951BC2" w:rsidRDefault="00951BC2" w:rsidP="00AA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C2" w:rsidRDefault="00951BC2" w:rsidP="00AA6BC3">
      <w:pPr>
        <w:spacing w:after="0" w:line="240" w:lineRule="auto"/>
      </w:pPr>
      <w:r>
        <w:separator/>
      </w:r>
    </w:p>
  </w:footnote>
  <w:footnote w:type="continuationSeparator" w:id="0">
    <w:p w:rsidR="00951BC2" w:rsidRDefault="00951BC2" w:rsidP="00AA6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4C"/>
    <w:rsid w:val="00023AAE"/>
    <w:rsid w:val="00073E13"/>
    <w:rsid w:val="00373C9D"/>
    <w:rsid w:val="0055684C"/>
    <w:rsid w:val="0057027D"/>
    <w:rsid w:val="0057294D"/>
    <w:rsid w:val="00672D1E"/>
    <w:rsid w:val="006874FF"/>
    <w:rsid w:val="00726645"/>
    <w:rsid w:val="00786092"/>
    <w:rsid w:val="00814619"/>
    <w:rsid w:val="00951BC2"/>
    <w:rsid w:val="00A92CCD"/>
    <w:rsid w:val="00AA6BC3"/>
    <w:rsid w:val="00B54585"/>
    <w:rsid w:val="00B7294D"/>
    <w:rsid w:val="00C16D04"/>
    <w:rsid w:val="00D03C9E"/>
    <w:rsid w:val="00E41487"/>
    <w:rsid w:val="00E6706A"/>
    <w:rsid w:val="00F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A5EEB5-AA15-4491-828D-0F0A94DF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4C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文左"/>
    <w:uiPriority w:val="99"/>
    <w:rsid w:val="0055684C"/>
    <w:pPr>
      <w:snapToGrid w:val="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AA6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A6BC3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A6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A6BC3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C.M.T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kinmenlu1108@gmail.com</dc:creator>
  <cp:lastModifiedBy>研發組組長</cp:lastModifiedBy>
  <cp:revision>2</cp:revision>
  <dcterms:created xsi:type="dcterms:W3CDTF">2022-11-21T00:55:00Z</dcterms:created>
  <dcterms:modified xsi:type="dcterms:W3CDTF">2022-11-21T00:55:00Z</dcterms:modified>
</cp:coreProperties>
</file>