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6F" w:rsidRPr="00910588" w:rsidRDefault="00EF326F" w:rsidP="00EF326F">
      <w:pPr>
        <w:spacing w:beforeLines="50" w:before="180" w:afterLines="50" w:after="180" w:line="480" w:lineRule="exact"/>
        <w:jc w:val="center"/>
        <w:rPr>
          <w:rFonts w:ascii="標楷體" w:eastAsia="標楷體" w:hAnsi="標楷體"/>
          <w:b/>
          <w:bCs/>
          <w:color w:val="000000" w:themeColor="text1"/>
          <w:sz w:val="32"/>
          <w:szCs w:val="24"/>
        </w:rPr>
      </w:pPr>
      <w:bookmarkStart w:id="0" w:name="_GoBack"/>
      <w:bookmarkEnd w:id="0"/>
      <w:r w:rsidRPr="00910588">
        <w:rPr>
          <w:rFonts w:ascii="標楷體" w:eastAsia="標楷體" w:hAnsi="標楷體" w:hint="eastAsia"/>
          <w:b/>
          <w:color w:val="000000" w:themeColor="text1"/>
          <w:sz w:val="32"/>
          <w:szCs w:val="24"/>
        </w:rPr>
        <w:t>金門縣</w:t>
      </w:r>
      <w:r w:rsidRPr="00910588">
        <w:rPr>
          <w:rFonts w:ascii="標楷體" w:eastAsia="標楷體" w:hAnsi="標楷體"/>
          <w:b/>
          <w:color w:val="000000" w:themeColor="text1"/>
          <w:sz w:val="32"/>
          <w:szCs w:val="24"/>
        </w:rPr>
        <w:t>10</w:t>
      </w:r>
      <w:r>
        <w:rPr>
          <w:rFonts w:ascii="標楷體" w:eastAsia="標楷體" w:hAnsi="標楷體" w:hint="eastAsia"/>
          <w:b/>
          <w:color w:val="000000" w:themeColor="text1"/>
          <w:sz w:val="32"/>
          <w:szCs w:val="24"/>
        </w:rPr>
        <w:t>9</w:t>
      </w:r>
      <w:r w:rsidRPr="00910588">
        <w:rPr>
          <w:rFonts w:ascii="標楷體" w:eastAsia="標楷體" w:hAnsi="標楷體" w:hint="eastAsia"/>
          <w:b/>
          <w:color w:val="000000" w:themeColor="text1"/>
          <w:sz w:val="32"/>
          <w:szCs w:val="24"/>
        </w:rPr>
        <w:t>學年度十二年國民基本教育精進國民中小學教學品質計畫</w:t>
      </w:r>
    </w:p>
    <w:p w:rsidR="00EF326F" w:rsidRDefault="00EF326F" w:rsidP="00EF326F">
      <w:pPr>
        <w:snapToGrid w:val="0"/>
        <w:spacing w:beforeLines="50" w:before="180" w:line="480" w:lineRule="exact"/>
        <w:ind w:left="1441" w:hangingChars="450" w:hanging="1441"/>
        <w:jc w:val="center"/>
        <w:rPr>
          <w:rFonts w:ascii="標楷體" w:eastAsia="標楷體" w:hAnsi="標楷體"/>
          <w:b/>
          <w:bCs/>
          <w:color w:val="000000" w:themeColor="text1"/>
          <w:sz w:val="32"/>
          <w:szCs w:val="24"/>
        </w:rPr>
      </w:pPr>
      <w:r w:rsidRPr="00910588">
        <w:rPr>
          <w:rFonts w:ascii="標楷體" w:eastAsia="標楷體" w:hAnsi="標楷體" w:cs="標楷體" w:hint="eastAsia"/>
          <w:b/>
          <w:bCs/>
          <w:color w:val="000000" w:themeColor="text1"/>
          <w:sz w:val="32"/>
          <w:szCs w:val="32"/>
        </w:rPr>
        <w:t>團</w:t>
      </w:r>
      <w:r w:rsidRPr="00A2121A">
        <w:rPr>
          <w:rFonts w:ascii="標楷體" w:eastAsia="標楷體" w:hAnsi="標楷體" w:cs="標楷體" w:hint="eastAsia"/>
          <w:b/>
          <w:bCs/>
          <w:color w:val="000000" w:themeColor="text1"/>
          <w:sz w:val="32"/>
          <w:szCs w:val="32"/>
        </w:rPr>
        <w:t>2-</w:t>
      </w:r>
      <w:r w:rsidRPr="00A2121A">
        <w:rPr>
          <w:rFonts w:ascii="標楷體" w:eastAsia="標楷體" w:hAnsi="標楷體" w:cs="標楷體"/>
          <w:b/>
          <w:bCs/>
          <w:color w:val="000000" w:themeColor="text1"/>
          <w:sz w:val="32"/>
          <w:szCs w:val="32"/>
        </w:rPr>
        <w:t>4-</w:t>
      </w:r>
      <w:r>
        <w:rPr>
          <w:rFonts w:ascii="標楷體" w:eastAsia="標楷體" w:hAnsi="標楷體" w:cs="標楷體" w:hint="eastAsia"/>
          <w:b/>
          <w:bCs/>
          <w:color w:val="000000" w:themeColor="text1"/>
          <w:sz w:val="32"/>
          <w:szCs w:val="32"/>
        </w:rPr>
        <w:t>5</w:t>
      </w:r>
      <w:r>
        <w:rPr>
          <w:rFonts w:ascii="標楷體" w:eastAsia="標楷體" w:hAnsi="標楷體" w:hint="eastAsia"/>
          <w:b/>
          <w:bCs/>
          <w:color w:val="000000" w:themeColor="text1"/>
          <w:sz w:val="32"/>
          <w:szCs w:val="24"/>
        </w:rPr>
        <w:t>國中小</w:t>
      </w:r>
      <w:r w:rsidRPr="00910588">
        <w:rPr>
          <w:rFonts w:ascii="標楷體" w:eastAsia="標楷體" w:hAnsi="標楷體" w:hint="eastAsia"/>
          <w:b/>
          <w:bCs/>
          <w:color w:val="000000" w:themeColor="text1"/>
          <w:sz w:val="32"/>
          <w:szCs w:val="24"/>
        </w:rPr>
        <w:t>數學領域輔導小組</w:t>
      </w:r>
    </w:p>
    <w:p w:rsidR="00EF326F" w:rsidRPr="00910588" w:rsidRDefault="00EF326F" w:rsidP="00EF326F">
      <w:pPr>
        <w:snapToGrid w:val="0"/>
        <w:spacing w:beforeLines="50" w:before="180" w:line="480" w:lineRule="exact"/>
        <w:ind w:left="1441" w:hangingChars="450" w:hanging="1441"/>
        <w:jc w:val="center"/>
        <w:rPr>
          <w:rFonts w:ascii="標楷體" w:eastAsia="標楷體" w:hAnsi="標楷體"/>
          <w:bCs/>
          <w:color w:val="000000" w:themeColor="text1"/>
          <w:szCs w:val="24"/>
        </w:rPr>
      </w:pPr>
      <w:r w:rsidRPr="00910588">
        <w:rPr>
          <w:rFonts w:ascii="標楷體" w:eastAsia="標楷體" w:hAnsi="標楷體" w:hint="eastAsia"/>
          <w:b/>
          <w:bCs/>
          <w:color w:val="000000" w:themeColor="text1"/>
          <w:sz w:val="32"/>
          <w:szCs w:val="24"/>
        </w:rPr>
        <w:t>數學領域「</w:t>
      </w:r>
      <w:r w:rsidRPr="001D2427">
        <w:rPr>
          <w:rFonts w:ascii="標楷體" w:eastAsia="標楷體" w:hAnsi="標楷體" w:hint="eastAsia"/>
          <w:b/>
          <w:bCs/>
          <w:color w:val="000000" w:themeColor="text1"/>
          <w:sz w:val="32"/>
          <w:szCs w:val="24"/>
        </w:rPr>
        <w:t>團員增能暨素養導向</w:t>
      </w:r>
      <w:r>
        <w:rPr>
          <w:rFonts w:ascii="標楷體" w:eastAsia="標楷體" w:hAnsi="標楷體" w:hint="eastAsia"/>
          <w:b/>
          <w:bCs/>
          <w:color w:val="000000" w:themeColor="text1"/>
          <w:sz w:val="32"/>
          <w:szCs w:val="24"/>
        </w:rPr>
        <w:t>課程</w:t>
      </w:r>
      <w:r w:rsidRPr="001D2427">
        <w:rPr>
          <w:rFonts w:ascii="標楷體" w:eastAsia="標楷體" w:hAnsi="標楷體" w:hint="eastAsia"/>
          <w:b/>
          <w:bCs/>
          <w:color w:val="000000" w:themeColor="text1"/>
          <w:sz w:val="32"/>
          <w:szCs w:val="24"/>
        </w:rPr>
        <w:t>研發工作坊</w:t>
      </w:r>
      <w:r w:rsidRPr="00910588">
        <w:rPr>
          <w:rFonts w:ascii="標楷體" w:eastAsia="標楷體" w:hAnsi="標楷體" w:hint="eastAsia"/>
          <w:b/>
          <w:bCs/>
          <w:color w:val="000000" w:themeColor="text1"/>
          <w:sz w:val="32"/>
          <w:szCs w:val="24"/>
        </w:rPr>
        <w:t>」計畫</w:t>
      </w:r>
      <w:r>
        <w:rPr>
          <w:rFonts w:ascii="標楷體" w:eastAsia="標楷體" w:hAnsi="標楷體" w:hint="eastAsia"/>
          <w:b/>
          <w:bCs/>
          <w:color w:val="000000" w:themeColor="text1"/>
          <w:sz w:val="32"/>
          <w:szCs w:val="24"/>
        </w:rPr>
        <w:t>-第一場次</w:t>
      </w:r>
    </w:p>
    <w:p w:rsidR="00EF326F" w:rsidRPr="00910588" w:rsidRDefault="00EF326F" w:rsidP="00EF326F">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一、依據</w:t>
      </w:r>
    </w:p>
    <w:p w:rsidR="00EF326F" w:rsidRDefault="00EF326F" w:rsidP="00EF326F">
      <w:pPr>
        <w:spacing w:line="480" w:lineRule="exact"/>
        <w:ind w:leftChars="118" w:left="782" w:hangingChars="208" w:hanging="499"/>
        <w:rPr>
          <w:rFonts w:ascii="標楷體" w:eastAsia="標楷體" w:hAnsi="標楷體"/>
          <w:bCs/>
          <w:noProof/>
          <w:color w:val="000000" w:themeColor="text1"/>
          <w:szCs w:val="24"/>
        </w:rPr>
      </w:pPr>
      <w:r w:rsidRPr="00910588">
        <w:rPr>
          <w:rFonts w:ascii="標楷體" w:eastAsia="標楷體" w:hAnsi="標楷體" w:hint="eastAsia"/>
          <w:bCs/>
          <w:noProof/>
          <w:color w:val="000000" w:themeColor="text1"/>
          <w:szCs w:val="24"/>
        </w:rPr>
        <w:t>(一)教育部補助辦理十二年國民基本教育精進國中小學教學品質要點。</w:t>
      </w:r>
    </w:p>
    <w:p w:rsidR="00EF326F" w:rsidRPr="00910588" w:rsidRDefault="00EF326F" w:rsidP="00EF326F">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cs="標楷體" w:hint="eastAsia"/>
          <w:noProof/>
          <w:color w:val="000000" w:themeColor="text1"/>
          <w:szCs w:val="24"/>
        </w:rPr>
        <w:t>(二)金門縣</w:t>
      </w:r>
      <w:r w:rsidRPr="00910588">
        <w:rPr>
          <w:rFonts w:ascii="標楷體" w:eastAsia="標楷體" w:hAnsi="標楷體" w:cs="標楷體"/>
          <w:color w:val="000000" w:themeColor="text1"/>
          <w:szCs w:val="24"/>
        </w:rPr>
        <w:t>1</w:t>
      </w:r>
      <w:r w:rsidRPr="00910588">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9</w:t>
      </w:r>
      <w:r w:rsidRPr="00910588">
        <w:rPr>
          <w:rFonts w:ascii="標楷體" w:eastAsia="標楷體" w:hAnsi="標楷體" w:cs="標楷體" w:hint="eastAsia"/>
          <w:color w:val="000000" w:themeColor="text1"/>
          <w:szCs w:val="24"/>
        </w:rPr>
        <w:t>學年度十二年國民基本教育精進國民中小學教學品質整體計畫</w:t>
      </w:r>
      <w:r w:rsidRPr="00910588">
        <w:rPr>
          <w:rFonts w:ascii="標楷體" w:eastAsia="標楷體" w:hAnsi="標楷體" w:cs="標楷體" w:hint="eastAsia"/>
          <w:noProof/>
          <w:color w:val="000000" w:themeColor="text1"/>
          <w:szCs w:val="24"/>
        </w:rPr>
        <w:t>。</w:t>
      </w:r>
    </w:p>
    <w:p w:rsidR="00EF326F" w:rsidRPr="00910588" w:rsidRDefault="00EF326F" w:rsidP="00EF326F">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二、目的</w:t>
      </w:r>
    </w:p>
    <w:p w:rsidR="00EF326F" w:rsidRPr="009D18D3" w:rsidRDefault="00EF326F" w:rsidP="00EF326F">
      <w:pPr>
        <w:spacing w:line="480" w:lineRule="exact"/>
        <w:ind w:leftChars="118" w:left="782" w:hangingChars="208" w:hanging="499"/>
        <w:rPr>
          <w:rFonts w:ascii="標楷體" w:eastAsia="標楷體" w:hAnsi="標楷體"/>
        </w:rPr>
      </w:pPr>
      <w:r w:rsidRPr="00910588">
        <w:rPr>
          <w:rFonts w:ascii="標楷體" w:eastAsia="標楷體" w:hAnsi="標楷體" w:hint="eastAsia"/>
          <w:bCs/>
          <w:noProof/>
          <w:color w:val="000000" w:themeColor="text1"/>
          <w:szCs w:val="24"/>
        </w:rPr>
        <w:t>(</w:t>
      </w:r>
      <w:r w:rsidRPr="009D18D3">
        <w:rPr>
          <w:rFonts w:ascii="標楷體" w:eastAsia="標楷體" w:hAnsi="標楷體"/>
        </w:rPr>
        <w:t>一</w:t>
      </w:r>
      <w:r w:rsidRPr="00910588">
        <w:rPr>
          <w:rFonts w:ascii="標楷體" w:eastAsia="標楷體" w:hAnsi="標楷體" w:hint="eastAsia"/>
          <w:bCs/>
          <w:noProof/>
          <w:color w:val="000000" w:themeColor="text1"/>
          <w:szCs w:val="24"/>
        </w:rPr>
        <w:t>)</w:t>
      </w:r>
      <w:r w:rsidRPr="009D18D3">
        <w:rPr>
          <w:rFonts w:ascii="標楷體" w:eastAsia="標楷體" w:hAnsi="標楷體"/>
        </w:rPr>
        <w:t xml:space="preserve">提高數學領域輔導團員及教師教學的技術及能力。 </w:t>
      </w:r>
    </w:p>
    <w:p w:rsidR="00EF326F" w:rsidRPr="009D18D3" w:rsidRDefault="00EF326F" w:rsidP="00EF326F">
      <w:pPr>
        <w:widowControl/>
        <w:tabs>
          <w:tab w:val="left" w:pos="720"/>
        </w:tabs>
        <w:snapToGrid w:val="0"/>
        <w:spacing w:line="480" w:lineRule="exact"/>
        <w:ind w:firstLineChars="118" w:firstLine="283"/>
        <w:rPr>
          <w:rFonts w:ascii="標楷體" w:eastAsia="標楷體" w:hAnsi="標楷體"/>
        </w:rPr>
      </w:pPr>
      <w:r w:rsidRPr="00910588">
        <w:rPr>
          <w:rFonts w:ascii="標楷體" w:eastAsia="標楷體" w:hAnsi="標楷體" w:hint="eastAsia"/>
          <w:bCs/>
          <w:noProof/>
          <w:color w:val="000000" w:themeColor="text1"/>
          <w:szCs w:val="24"/>
        </w:rPr>
        <w:t>(</w:t>
      </w:r>
      <w:r w:rsidRPr="009D18D3">
        <w:rPr>
          <w:rFonts w:ascii="標楷體" w:eastAsia="標楷體" w:hAnsi="標楷體"/>
        </w:rPr>
        <w:t>二</w:t>
      </w:r>
      <w:r w:rsidRPr="00910588">
        <w:rPr>
          <w:rFonts w:ascii="標楷體" w:eastAsia="標楷體" w:hAnsi="標楷體" w:hint="eastAsia"/>
          <w:bCs/>
          <w:noProof/>
          <w:color w:val="000000" w:themeColor="text1"/>
          <w:szCs w:val="24"/>
        </w:rPr>
        <w:t>)</w:t>
      </w:r>
      <w:r w:rsidRPr="009D18D3">
        <w:rPr>
          <w:rFonts w:ascii="標楷體" w:eastAsia="標楷體" w:hAnsi="標楷體"/>
        </w:rPr>
        <w:t>提昇教學專業能力，並提供教學支援和輔導諮詢功能。</w:t>
      </w:r>
    </w:p>
    <w:p w:rsidR="00EF326F" w:rsidRPr="009D18D3" w:rsidRDefault="00EF326F" w:rsidP="00EF326F">
      <w:pPr>
        <w:widowControl/>
        <w:tabs>
          <w:tab w:val="left" w:pos="720"/>
        </w:tabs>
        <w:snapToGrid w:val="0"/>
        <w:spacing w:line="480" w:lineRule="exact"/>
        <w:ind w:firstLineChars="118" w:firstLine="283"/>
        <w:rPr>
          <w:rFonts w:ascii="標楷體" w:eastAsia="標楷體" w:hAnsi="標楷體"/>
          <w:color w:val="000000" w:themeColor="text1"/>
          <w:szCs w:val="24"/>
        </w:rPr>
      </w:pPr>
      <w:r w:rsidRPr="00910588">
        <w:rPr>
          <w:rFonts w:ascii="標楷體" w:eastAsia="標楷體" w:hAnsi="標楷體" w:hint="eastAsia"/>
          <w:bCs/>
          <w:noProof/>
          <w:color w:val="000000" w:themeColor="text1"/>
          <w:szCs w:val="24"/>
        </w:rPr>
        <w:t>(</w:t>
      </w:r>
      <w:r w:rsidRPr="009D18D3">
        <w:rPr>
          <w:rFonts w:ascii="標楷體" w:eastAsia="標楷體" w:hAnsi="標楷體"/>
        </w:rPr>
        <w:t>三</w:t>
      </w:r>
      <w:r w:rsidRPr="00910588">
        <w:rPr>
          <w:rFonts w:ascii="標楷體" w:eastAsia="標楷體" w:hAnsi="標楷體" w:hint="eastAsia"/>
          <w:bCs/>
          <w:noProof/>
          <w:color w:val="000000" w:themeColor="text1"/>
          <w:szCs w:val="24"/>
        </w:rPr>
        <w:t>)</w:t>
      </w:r>
      <w:r w:rsidRPr="009D18D3">
        <w:rPr>
          <w:rFonts w:ascii="標楷體" w:eastAsia="標楷體" w:hAnsi="標楷體"/>
        </w:rPr>
        <w:t>建立優良數學教師指標，提供全縣數學教師參考。</w:t>
      </w:r>
    </w:p>
    <w:p w:rsidR="00EF326F" w:rsidRPr="00910588" w:rsidRDefault="00EF326F" w:rsidP="00EF326F">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三、辦理單位</w:t>
      </w:r>
    </w:p>
    <w:p w:rsidR="00EF326F" w:rsidRPr="00DB0ADE" w:rsidRDefault="00EF326F" w:rsidP="00EF326F">
      <w:pPr>
        <w:widowControl/>
        <w:tabs>
          <w:tab w:val="left" w:pos="720"/>
        </w:tabs>
        <w:snapToGrid w:val="0"/>
        <w:spacing w:line="480" w:lineRule="exact"/>
        <w:ind w:firstLineChars="118" w:firstLine="283"/>
        <w:rPr>
          <w:rFonts w:ascii="標楷體" w:eastAsia="標楷體" w:hAnsi="標楷體"/>
        </w:rPr>
      </w:pPr>
      <w:r w:rsidRPr="00DB0ADE">
        <w:rPr>
          <w:rFonts w:ascii="標楷體" w:eastAsia="標楷體" w:hAnsi="標楷體" w:hint="eastAsia"/>
        </w:rPr>
        <w:t>(一)指導單位：教育部國民及學前教育署。</w:t>
      </w:r>
    </w:p>
    <w:p w:rsidR="00EF326F" w:rsidRPr="00DB0ADE" w:rsidRDefault="00EF326F" w:rsidP="00EF326F">
      <w:pPr>
        <w:widowControl/>
        <w:tabs>
          <w:tab w:val="left" w:pos="720"/>
        </w:tabs>
        <w:snapToGrid w:val="0"/>
        <w:spacing w:line="480" w:lineRule="exact"/>
        <w:ind w:firstLineChars="118" w:firstLine="283"/>
        <w:rPr>
          <w:rFonts w:ascii="標楷體" w:eastAsia="標楷體" w:hAnsi="標楷體"/>
        </w:rPr>
      </w:pPr>
      <w:r w:rsidRPr="00DB0ADE">
        <w:rPr>
          <w:rFonts w:ascii="標楷體" w:eastAsia="標楷體" w:hAnsi="標楷體" w:hint="eastAsia"/>
        </w:rPr>
        <w:t>(二)主辦單位：金門縣政府。</w:t>
      </w:r>
    </w:p>
    <w:p w:rsidR="00EF326F" w:rsidRPr="00DB0ADE" w:rsidRDefault="00EF326F" w:rsidP="00EF326F">
      <w:pPr>
        <w:widowControl/>
        <w:tabs>
          <w:tab w:val="left" w:pos="720"/>
        </w:tabs>
        <w:snapToGrid w:val="0"/>
        <w:spacing w:line="480" w:lineRule="exact"/>
        <w:ind w:firstLineChars="118" w:firstLine="283"/>
        <w:rPr>
          <w:rFonts w:ascii="標楷體" w:eastAsia="標楷體" w:hAnsi="標楷體"/>
        </w:rPr>
      </w:pPr>
      <w:r w:rsidRPr="00DB0ADE">
        <w:rPr>
          <w:rFonts w:ascii="標楷體" w:eastAsia="標楷體" w:hAnsi="標楷體" w:hint="eastAsia"/>
        </w:rPr>
        <w:t>(三)承辦單位：國小數學領域輔導小組。</w:t>
      </w:r>
    </w:p>
    <w:p w:rsidR="00EF326F" w:rsidRDefault="00EF326F" w:rsidP="00EF326F">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四、實施對象：</w:t>
      </w:r>
      <w:r>
        <w:rPr>
          <w:rFonts w:ascii="標楷體" w:eastAsia="標楷體" w:hAnsi="標楷體" w:hint="eastAsia"/>
          <w:color w:val="000000" w:themeColor="text1"/>
          <w:szCs w:val="24"/>
        </w:rPr>
        <w:t>國中小數學領域輔導員</w:t>
      </w:r>
      <w:r w:rsidRPr="00910588">
        <w:rPr>
          <w:rFonts w:ascii="標楷體" w:eastAsia="標楷體" w:hAnsi="標楷體" w:hint="eastAsia"/>
          <w:color w:val="000000" w:themeColor="text1"/>
          <w:szCs w:val="24"/>
        </w:rPr>
        <w:t>，</w:t>
      </w:r>
      <w:r w:rsidRPr="00311043">
        <w:rPr>
          <w:rFonts w:ascii="標楷體" w:eastAsia="標楷體" w:hAnsi="標楷體" w:cs="標楷體" w:hint="eastAsia"/>
          <w:color w:val="000000" w:themeColor="text1"/>
          <w:szCs w:val="24"/>
        </w:rPr>
        <w:t>各校</w:t>
      </w:r>
      <w:r>
        <w:rPr>
          <w:rFonts w:ascii="標楷體" w:eastAsia="標楷體" w:hAnsi="標楷體" w:cs="標楷體" w:hint="eastAsia"/>
          <w:color w:val="000000" w:themeColor="text1"/>
          <w:szCs w:val="24"/>
        </w:rPr>
        <w:t>數學領域</w:t>
      </w:r>
      <w:r w:rsidRPr="00311043">
        <w:rPr>
          <w:rFonts w:ascii="標楷體" w:eastAsia="標楷體" w:hAnsi="標楷體" w:cs="標楷體" w:hint="eastAsia"/>
          <w:color w:val="000000" w:themeColor="text1"/>
          <w:szCs w:val="24"/>
        </w:rPr>
        <w:t>領域召集人暨有興趣之教師</w:t>
      </w:r>
      <w:r w:rsidRPr="00910588">
        <w:rPr>
          <w:rFonts w:ascii="標楷體" w:eastAsia="標楷體" w:hAnsi="標楷體" w:hint="eastAsia"/>
          <w:color w:val="000000" w:themeColor="text1"/>
          <w:szCs w:val="24"/>
        </w:rPr>
        <w:t>以</w:t>
      </w:r>
      <w:r>
        <w:rPr>
          <w:rFonts w:ascii="標楷體" w:eastAsia="標楷體" w:hAnsi="標楷體" w:hint="eastAsia"/>
          <w:color w:val="000000" w:themeColor="text1"/>
          <w:szCs w:val="24"/>
        </w:rPr>
        <w:t>15</w:t>
      </w:r>
      <w:r w:rsidRPr="00910588">
        <w:rPr>
          <w:rFonts w:ascii="標楷體" w:eastAsia="標楷體" w:hAnsi="標楷體" w:hint="eastAsia"/>
          <w:color w:val="000000" w:themeColor="text1"/>
          <w:szCs w:val="24"/>
        </w:rPr>
        <w:t>人為上限。</w:t>
      </w:r>
    </w:p>
    <w:p w:rsidR="00EF326F" w:rsidRPr="001E447A" w:rsidRDefault="00EF326F" w:rsidP="001E447A">
      <w:pPr>
        <w:adjustRightInd w:val="0"/>
        <w:snapToGrid w:val="0"/>
        <w:spacing w:line="400" w:lineRule="atLeast"/>
        <w:outlineLvl w:val="2"/>
        <w:rPr>
          <w:rFonts w:ascii="標楷體" w:eastAsia="標楷體" w:hAnsi="標楷體"/>
          <w:color w:val="000000" w:themeColor="text1"/>
          <w:szCs w:val="24"/>
        </w:rPr>
      </w:pPr>
      <w:r w:rsidRPr="001E447A">
        <w:rPr>
          <w:rFonts w:ascii="標楷體" w:eastAsia="標楷體" w:hAnsi="標楷體" w:hint="eastAsia"/>
          <w:color w:val="000000" w:themeColor="text1"/>
          <w:szCs w:val="24"/>
        </w:rPr>
        <w:t>五、辦理時間︰</w:t>
      </w:r>
      <w:r w:rsidRPr="001E447A">
        <w:rPr>
          <w:rFonts w:ascii="標楷體" w:eastAsia="標楷體" w:hAnsi="標楷體"/>
          <w:color w:val="000000" w:themeColor="text1"/>
          <w:szCs w:val="24"/>
        </w:rPr>
        <w:t>10</w:t>
      </w:r>
      <w:r w:rsidRPr="001E447A">
        <w:rPr>
          <w:rFonts w:ascii="標楷體" w:eastAsia="標楷體" w:hAnsi="標楷體" w:hint="eastAsia"/>
          <w:color w:val="000000" w:themeColor="text1"/>
          <w:szCs w:val="24"/>
        </w:rPr>
        <w:t>9年9月17日</w:t>
      </w:r>
      <w:r w:rsidR="001E447A" w:rsidRPr="001E447A">
        <w:rPr>
          <w:rFonts w:ascii="標楷體" w:eastAsia="標楷體" w:hAnsi="標楷體" w:cs="標楷體" w:hint="eastAsia"/>
          <w:noProof/>
          <w:szCs w:val="22"/>
        </w:rPr>
        <w:t>13：30</w:t>
      </w:r>
      <w:r w:rsidR="001E447A" w:rsidRPr="001E447A">
        <w:rPr>
          <w:rFonts w:ascii="標楷體" w:eastAsia="標楷體" w:hAnsi="標楷體" w:cs="標楷體"/>
          <w:noProof/>
          <w:szCs w:val="22"/>
        </w:rPr>
        <w:t>-</w:t>
      </w:r>
      <w:r w:rsidR="001E447A" w:rsidRPr="001E447A">
        <w:rPr>
          <w:rFonts w:ascii="標楷體" w:eastAsia="標楷體" w:hAnsi="標楷體" w:cs="標楷體" w:hint="eastAsia"/>
          <w:noProof/>
          <w:szCs w:val="22"/>
        </w:rPr>
        <w:t>16：</w:t>
      </w:r>
      <w:r w:rsidR="001E447A" w:rsidRPr="001E447A">
        <w:rPr>
          <w:rFonts w:ascii="標楷體" w:eastAsia="標楷體" w:hAnsi="標楷體" w:cs="標楷體"/>
          <w:noProof/>
          <w:szCs w:val="22"/>
        </w:rPr>
        <w:t>30</w:t>
      </w:r>
    </w:p>
    <w:p w:rsidR="00EF326F" w:rsidRPr="00910588" w:rsidRDefault="00EF326F" w:rsidP="00EF326F">
      <w:pPr>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t>六、地點</w:t>
      </w:r>
      <w:r w:rsidRPr="00910588">
        <w:rPr>
          <w:rFonts w:ascii="標楷體" w:eastAsia="標楷體" w:hAnsi="標楷體" w:hint="eastAsia"/>
          <w:color w:val="000000" w:themeColor="text1"/>
          <w:szCs w:val="24"/>
        </w:rPr>
        <w:t>︰</w:t>
      </w:r>
      <w:r>
        <w:rPr>
          <w:rFonts w:ascii="標楷體" w:eastAsia="標楷體" w:hAnsi="標楷體" w:hint="eastAsia"/>
          <w:color w:val="000000" w:themeColor="text1"/>
          <w:szCs w:val="24"/>
        </w:rPr>
        <w:t>國教輔導團</w:t>
      </w:r>
    </w:p>
    <w:p w:rsidR="00EF326F" w:rsidRPr="00910588" w:rsidRDefault="00EF326F" w:rsidP="00EF326F">
      <w:pPr>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t>七</w:t>
      </w:r>
      <w:r w:rsidRPr="00910588">
        <w:rPr>
          <w:rFonts w:ascii="標楷體" w:eastAsia="標楷體" w:hAnsi="標楷體" w:hint="eastAsia"/>
          <w:color w:val="000000" w:themeColor="text1"/>
          <w:szCs w:val="24"/>
        </w:rPr>
        <w:t>、實施</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課程</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流程：如附件</w:t>
      </w:r>
      <w:r>
        <w:rPr>
          <w:rFonts w:ascii="標楷體" w:eastAsia="標楷體" w:hAnsi="標楷體" w:hint="eastAsia"/>
          <w:color w:val="000000" w:themeColor="text1"/>
          <w:szCs w:val="24"/>
        </w:rPr>
        <w:t>1</w:t>
      </w:r>
      <w:r w:rsidRPr="00910588">
        <w:rPr>
          <w:rFonts w:ascii="標楷體" w:eastAsia="標楷體" w:hAnsi="標楷體" w:hint="eastAsia"/>
          <w:color w:val="000000" w:themeColor="text1"/>
          <w:szCs w:val="24"/>
        </w:rPr>
        <w:t>。</w:t>
      </w:r>
    </w:p>
    <w:p w:rsidR="00EF326F" w:rsidRDefault="00EF326F" w:rsidP="00EF326F">
      <w:pPr>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t>八</w:t>
      </w:r>
      <w:r w:rsidRPr="00910588">
        <w:rPr>
          <w:rFonts w:ascii="標楷體" w:eastAsia="標楷體" w:hAnsi="標楷體" w:hint="eastAsia"/>
          <w:color w:val="000000" w:themeColor="text1"/>
          <w:szCs w:val="24"/>
        </w:rPr>
        <w:t>、預期效益</w:t>
      </w:r>
    </w:p>
    <w:p w:rsidR="00EF326F" w:rsidRPr="00311043" w:rsidRDefault="00EF326F" w:rsidP="00EF326F">
      <w:pPr>
        <w:spacing w:line="480" w:lineRule="exact"/>
        <w:ind w:leftChars="118" w:left="782" w:hangingChars="208" w:hanging="499"/>
        <w:rPr>
          <w:rFonts w:ascii="標楷體" w:eastAsia="標楷體" w:hAnsi="標楷體"/>
          <w:color w:val="000000" w:themeColor="text1"/>
          <w:kern w:val="0"/>
          <w:szCs w:val="24"/>
        </w:rPr>
      </w:pPr>
      <w:r w:rsidRPr="00910588">
        <w:rPr>
          <w:rFonts w:ascii="標楷體" w:eastAsia="標楷體" w:hAnsi="標楷體" w:hint="eastAsia"/>
          <w:bCs/>
          <w:noProof/>
          <w:color w:val="000000" w:themeColor="text1"/>
          <w:szCs w:val="24"/>
        </w:rPr>
        <w:t>(</w:t>
      </w:r>
      <w:r w:rsidRPr="009D18D3">
        <w:rPr>
          <w:rFonts w:ascii="標楷體" w:eastAsia="標楷體" w:hAnsi="標楷體"/>
        </w:rPr>
        <w:t>一</w:t>
      </w:r>
      <w:r w:rsidRPr="00910588">
        <w:rPr>
          <w:rFonts w:ascii="標楷體" w:eastAsia="標楷體" w:hAnsi="標楷體" w:hint="eastAsia"/>
          <w:bCs/>
          <w:noProof/>
          <w:color w:val="000000" w:themeColor="text1"/>
          <w:szCs w:val="24"/>
        </w:rPr>
        <w:t>)</w:t>
      </w:r>
      <w:r w:rsidRPr="00311043">
        <w:rPr>
          <w:rFonts w:ascii="標楷體" w:eastAsia="標楷體" w:hAnsi="標楷體" w:hint="eastAsia"/>
          <w:color w:val="000000" w:themeColor="text1"/>
          <w:kern w:val="0"/>
          <w:szCs w:val="24"/>
        </w:rPr>
        <w:t>以十二年國民基本教育之核心素養及議題融入的方式作成探討與研發做為團員及參與教師自我精進之方向，透過體驗的方式帶領議題與自我省思，進而發現新的解決辦法與觀點來突破盲點，提升本縣</w:t>
      </w:r>
      <w:r>
        <w:rPr>
          <w:rFonts w:ascii="標楷體" w:eastAsia="標楷體" w:hAnsi="標楷體" w:hint="eastAsia"/>
          <w:color w:val="000000" w:themeColor="text1"/>
          <w:kern w:val="0"/>
          <w:szCs w:val="24"/>
        </w:rPr>
        <w:t>數學領域</w:t>
      </w:r>
      <w:r w:rsidRPr="00311043">
        <w:rPr>
          <w:rFonts w:ascii="標楷體" w:eastAsia="標楷體" w:hAnsi="標楷體" w:hint="eastAsia"/>
          <w:color w:val="000000" w:themeColor="text1"/>
          <w:kern w:val="0"/>
          <w:szCs w:val="24"/>
        </w:rPr>
        <w:t>之整體教學成效。</w:t>
      </w:r>
    </w:p>
    <w:p w:rsidR="00EF326F" w:rsidRPr="00311043" w:rsidRDefault="00EF326F" w:rsidP="00EF326F">
      <w:pPr>
        <w:spacing w:line="480" w:lineRule="exact"/>
        <w:ind w:leftChars="118" w:left="782" w:hangingChars="208" w:hanging="499"/>
        <w:rPr>
          <w:rFonts w:ascii="標楷體" w:eastAsia="標楷體" w:hAnsi="標楷體"/>
          <w:color w:val="000000" w:themeColor="text1"/>
          <w:kern w:val="0"/>
          <w:szCs w:val="24"/>
        </w:rPr>
      </w:pPr>
      <w:r w:rsidRPr="00910588">
        <w:rPr>
          <w:rFonts w:ascii="標楷體" w:eastAsia="標楷體" w:hAnsi="標楷體" w:hint="eastAsia"/>
          <w:bCs/>
          <w:noProof/>
          <w:color w:val="000000" w:themeColor="text1"/>
          <w:szCs w:val="24"/>
        </w:rPr>
        <w:t>(</w:t>
      </w:r>
      <w:r>
        <w:rPr>
          <w:rFonts w:ascii="標楷體" w:eastAsia="標楷體" w:hAnsi="標楷體" w:hint="eastAsia"/>
        </w:rPr>
        <w:t>二</w:t>
      </w:r>
      <w:r w:rsidRPr="00910588">
        <w:rPr>
          <w:rFonts w:ascii="標楷體" w:eastAsia="標楷體" w:hAnsi="標楷體" w:hint="eastAsia"/>
          <w:bCs/>
          <w:noProof/>
          <w:color w:val="000000" w:themeColor="text1"/>
          <w:szCs w:val="24"/>
        </w:rPr>
        <w:t>)</w:t>
      </w:r>
      <w:r w:rsidRPr="00311043">
        <w:rPr>
          <w:rFonts w:ascii="標楷體" w:eastAsia="標楷體" w:hAnsi="標楷體" w:hint="eastAsia"/>
          <w:color w:val="000000" w:themeColor="text1"/>
          <w:kern w:val="0"/>
          <w:szCs w:val="24"/>
        </w:rPr>
        <w:t>提供對話與研討之機會，內化成正確之觀念，雙向之互動方式，建構教師自我省思與實踐之思考模式。</w:t>
      </w:r>
    </w:p>
    <w:p w:rsidR="00EF326F" w:rsidRPr="00900395" w:rsidRDefault="00EF326F" w:rsidP="00EF326F">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bCs/>
          <w:noProof/>
          <w:color w:val="000000" w:themeColor="text1"/>
          <w:szCs w:val="24"/>
        </w:rPr>
        <w:t>(</w:t>
      </w:r>
      <w:r>
        <w:rPr>
          <w:rFonts w:ascii="標楷體" w:eastAsia="標楷體" w:hAnsi="標楷體" w:hint="eastAsia"/>
        </w:rPr>
        <w:t>三</w:t>
      </w:r>
      <w:r w:rsidRPr="00910588">
        <w:rPr>
          <w:rFonts w:ascii="標楷體" w:eastAsia="標楷體" w:hAnsi="標楷體" w:hint="eastAsia"/>
          <w:bCs/>
          <w:noProof/>
          <w:color w:val="000000" w:themeColor="text1"/>
          <w:szCs w:val="24"/>
        </w:rPr>
        <w:t>)</w:t>
      </w:r>
      <w:r w:rsidRPr="00900395">
        <w:rPr>
          <w:rFonts w:ascii="標楷體" w:eastAsia="標楷體" w:hAnsi="標楷體" w:hint="eastAsia"/>
          <w:color w:val="000000" w:themeColor="text1"/>
          <w:kern w:val="0"/>
          <w:szCs w:val="24"/>
        </w:rPr>
        <w:t>研發十二年國民基本教育之核心素養導向及議題融入之多元教學法與評量示例，藉由多元取向的教學模式，提升專業能力與輔導功能。</w:t>
      </w:r>
    </w:p>
    <w:p w:rsidR="00EF326F" w:rsidRPr="00910588" w:rsidRDefault="00EF326F" w:rsidP="00EF326F">
      <w:pPr>
        <w:spacing w:line="480" w:lineRule="exact"/>
        <w:ind w:left="1680" w:hangingChars="700" w:hanging="1680"/>
        <w:rPr>
          <w:rFonts w:ascii="標楷體" w:eastAsia="標楷體" w:hAnsi="標楷體"/>
          <w:color w:val="000000" w:themeColor="text1"/>
          <w:szCs w:val="24"/>
        </w:rPr>
      </w:pPr>
      <w:r>
        <w:rPr>
          <w:rFonts w:ascii="標楷體" w:eastAsia="標楷體" w:hAnsi="標楷體" w:hint="eastAsia"/>
          <w:color w:val="000000" w:themeColor="text1"/>
          <w:szCs w:val="24"/>
        </w:rPr>
        <w:t>九</w:t>
      </w:r>
      <w:r w:rsidRPr="00910588">
        <w:rPr>
          <w:rFonts w:ascii="標楷體" w:eastAsia="標楷體" w:hAnsi="標楷體" w:hint="eastAsia"/>
          <w:color w:val="000000" w:themeColor="text1"/>
          <w:szCs w:val="24"/>
        </w:rPr>
        <w:t>、經費預算：由教育部補助國教輔導團經費與金門縣地方教育發展基金年度相關項下支出</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本案所需經費概算表如附件</w:t>
      </w:r>
      <w:r>
        <w:rPr>
          <w:rFonts w:ascii="標楷體" w:eastAsia="標楷體" w:hAnsi="標楷體" w:hint="eastAsia"/>
          <w:color w:val="000000" w:themeColor="text1"/>
          <w:szCs w:val="24"/>
        </w:rPr>
        <w:t>2</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w:t>
      </w:r>
    </w:p>
    <w:p w:rsidR="00EF326F" w:rsidRPr="00910588" w:rsidRDefault="00EF326F" w:rsidP="00EF326F">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lastRenderedPageBreak/>
        <w:t>十、承辦有功人員，依本縣教育專業人員獎懲規定予以敘獎。</w:t>
      </w:r>
    </w:p>
    <w:p w:rsidR="00EF326F" w:rsidRPr="00910588" w:rsidRDefault="00EF326F" w:rsidP="00EF326F">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十一、附則：本計畫呈報縣政府核定後實施，如有未盡事宜得修訂之。</w:t>
      </w:r>
    </w:p>
    <w:p w:rsidR="00EF326F" w:rsidRDefault="00EF326F" w:rsidP="00EF326F">
      <w:pPr>
        <w:widowControl/>
        <w:tabs>
          <w:tab w:val="left" w:pos="720"/>
        </w:tabs>
        <w:snapToGrid w:val="0"/>
        <w:spacing w:line="480" w:lineRule="exact"/>
        <w:rPr>
          <w:rFonts w:ascii="標楷體" w:eastAsia="標楷體" w:hAnsi="標楷體"/>
          <w:color w:val="000000" w:themeColor="text1"/>
          <w:szCs w:val="24"/>
        </w:rPr>
      </w:pPr>
    </w:p>
    <w:p w:rsidR="00EF326F" w:rsidRDefault="00EF326F" w:rsidP="00EF326F">
      <w:pPr>
        <w:widowControl/>
        <w:tabs>
          <w:tab w:val="left" w:pos="720"/>
        </w:tabs>
        <w:snapToGrid w:val="0"/>
        <w:spacing w:line="480" w:lineRule="exact"/>
        <w:rPr>
          <w:rFonts w:ascii="標楷體" w:eastAsia="標楷體" w:hAnsi="標楷體"/>
          <w:color w:val="000000" w:themeColor="text1"/>
          <w:szCs w:val="24"/>
        </w:rPr>
      </w:pPr>
      <w:r w:rsidRPr="00910588">
        <w:rPr>
          <w:rFonts w:ascii="標楷體" w:eastAsia="標楷體" w:hAnsi="標楷體" w:hint="eastAsia"/>
          <w:bCs/>
          <w:color w:val="000000" w:themeColor="text1"/>
          <w:szCs w:val="24"/>
        </w:rPr>
        <w:t>附件</w:t>
      </w:r>
      <w:r w:rsidRPr="000D245C">
        <w:rPr>
          <w:rFonts w:ascii="標楷體" w:eastAsia="標楷體" w:hAnsi="標楷體" w:cs="標楷體"/>
          <w:color w:val="000000" w:themeColor="text1"/>
          <w:szCs w:val="24"/>
        </w:rPr>
        <w:t>1</w:t>
      </w:r>
      <w:r w:rsidRPr="008A384E">
        <w:rPr>
          <w:rFonts w:ascii="標楷體" w:eastAsia="標楷體" w:hAnsi="標楷體" w:hint="eastAsia"/>
          <w:color w:val="000000" w:themeColor="text1"/>
          <w:szCs w:val="24"/>
        </w:rPr>
        <w:t>、</w:t>
      </w:r>
      <w:r w:rsidRPr="008A384E">
        <w:rPr>
          <w:rFonts w:ascii="標楷體" w:eastAsia="標楷體" w:hAnsi="標楷體" w:hint="eastAsia"/>
          <w:bCs/>
          <w:color w:val="000000" w:themeColor="text1"/>
          <w:szCs w:val="24"/>
        </w:rPr>
        <w:t>活動程序表</w:t>
      </w:r>
    </w:p>
    <w:p w:rsidR="00EF326F" w:rsidRDefault="00EF326F" w:rsidP="00EF326F">
      <w:pPr>
        <w:spacing w:line="480" w:lineRule="exact"/>
        <w:rPr>
          <w:rFonts w:ascii="標楷體" w:eastAsia="標楷體" w:hAnsi="標楷體"/>
          <w:color w:val="000000" w:themeColor="text1"/>
          <w:szCs w:val="24"/>
        </w:rPr>
      </w:pPr>
    </w:p>
    <w:tbl>
      <w:tblPr>
        <w:tblW w:w="497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2"/>
        <w:gridCol w:w="1580"/>
        <w:gridCol w:w="2972"/>
        <w:gridCol w:w="1852"/>
        <w:gridCol w:w="1850"/>
      </w:tblGrid>
      <w:tr w:rsidR="00EF326F" w:rsidRPr="00842396" w:rsidTr="001E52A5">
        <w:trPr>
          <w:trHeight w:val="737"/>
        </w:trPr>
        <w:tc>
          <w:tcPr>
            <w:tcW w:w="690" w:type="pct"/>
            <w:shd w:val="clear" w:color="auto" w:fill="F2F2F2" w:themeFill="background1" w:themeFillShade="F2"/>
            <w:vAlign w:val="center"/>
          </w:tcPr>
          <w:p w:rsidR="00EF326F" w:rsidRPr="00842396" w:rsidRDefault="00EF326F" w:rsidP="006E127F">
            <w:pPr>
              <w:adjustRightInd w:val="0"/>
              <w:snapToGrid w:val="0"/>
              <w:spacing w:line="400" w:lineRule="atLeast"/>
              <w:jc w:val="center"/>
              <w:outlineLvl w:val="2"/>
              <w:rPr>
                <w:rFonts w:ascii="標楷體" w:eastAsia="標楷體" w:hAnsi="標楷體" w:cs="標楷體"/>
                <w:noProof/>
                <w:sz w:val="28"/>
                <w:szCs w:val="22"/>
              </w:rPr>
            </w:pPr>
            <w:r>
              <w:rPr>
                <w:rFonts w:ascii="標楷體" w:eastAsia="標楷體" w:hAnsi="標楷體" w:cs="標楷體" w:hint="eastAsia"/>
                <w:noProof/>
                <w:sz w:val="28"/>
                <w:szCs w:val="22"/>
              </w:rPr>
              <w:t>日期</w:t>
            </w:r>
          </w:p>
        </w:tc>
        <w:tc>
          <w:tcPr>
            <w:tcW w:w="825" w:type="pct"/>
            <w:shd w:val="clear" w:color="auto" w:fill="F2F2F2" w:themeFill="background1" w:themeFillShade="F2"/>
            <w:vAlign w:val="center"/>
          </w:tcPr>
          <w:p w:rsidR="00EF326F" w:rsidRPr="00842396" w:rsidRDefault="00EF326F" w:rsidP="006E127F">
            <w:pPr>
              <w:adjustRightInd w:val="0"/>
              <w:snapToGrid w:val="0"/>
              <w:spacing w:line="400" w:lineRule="atLeast"/>
              <w:jc w:val="center"/>
              <w:outlineLvl w:val="2"/>
              <w:rPr>
                <w:rFonts w:ascii="標楷體" w:eastAsia="標楷體" w:hAnsi="標楷體" w:cs="標楷體"/>
                <w:noProof/>
                <w:sz w:val="28"/>
                <w:szCs w:val="22"/>
              </w:rPr>
            </w:pPr>
            <w:r w:rsidRPr="00842396">
              <w:rPr>
                <w:rFonts w:ascii="標楷體" w:eastAsia="標楷體" w:hAnsi="標楷體" w:cs="標楷體"/>
                <w:noProof/>
                <w:sz w:val="28"/>
                <w:szCs w:val="22"/>
              </w:rPr>
              <w:t>時間</w:t>
            </w:r>
          </w:p>
        </w:tc>
        <w:tc>
          <w:tcPr>
            <w:tcW w:w="1552" w:type="pct"/>
            <w:shd w:val="clear" w:color="auto" w:fill="F2F2F2" w:themeFill="background1" w:themeFillShade="F2"/>
            <w:vAlign w:val="center"/>
          </w:tcPr>
          <w:p w:rsidR="00EF326F" w:rsidRPr="00842396" w:rsidRDefault="00EF326F" w:rsidP="006E127F">
            <w:pPr>
              <w:adjustRightInd w:val="0"/>
              <w:snapToGrid w:val="0"/>
              <w:spacing w:line="400" w:lineRule="atLeast"/>
              <w:jc w:val="center"/>
              <w:outlineLvl w:val="2"/>
              <w:rPr>
                <w:rFonts w:ascii="標楷體" w:eastAsia="標楷體" w:hAnsi="標楷體" w:cs="標楷體"/>
                <w:noProof/>
                <w:sz w:val="28"/>
                <w:szCs w:val="22"/>
              </w:rPr>
            </w:pPr>
            <w:r w:rsidRPr="00842396">
              <w:rPr>
                <w:rFonts w:ascii="標楷體" w:eastAsia="標楷體" w:hAnsi="標楷體" w:cs="標楷體"/>
                <w:noProof/>
                <w:sz w:val="28"/>
                <w:szCs w:val="22"/>
              </w:rPr>
              <w:t>工作內容</w:t>
            </w:r>
          </w:p>
        </w:tc>
        <w:tc>
          <w:tcPr>
            <w:tcW w:w="967" w:type="pct"/>
            <w:shd w:val="clear" w:color="auto" w:fill="F2F2F2" w:themeFill="background1" w:themeFillShade="F2"/>
            <w:vAlign w:val="center"/>
          </w:tcPr>
          <w:p w:rsidR="00EF326F" w:rsidRPr="00842396" w:rsidRDefault="00EF326F" w:rsidP="006E127F">
            <w:pPr>
              <w:adjustRightInd w:val="0"/>
              <w:snapToGrid w:val="0"/>
              <w:spacing w:line="400" w:lineRule="atLeast"/>
              <w:jc w:val="center"/>
              <w:outlineLvl w:val="2"/>
              <w:rPr>
                <w:rFonts w:ascii="標楷體" w:eastAsia="標楷體" w:hAnsi="標楷體" w:cs="標楷體"/>
                <w:noProof/>
                <w:sz w:val="28"/>
                <w:szCs w:val="22"/>
              </w:rPr>
            </w:pPr>
            <w:r w:rsidRPr="00842396">
              <w:rPr>
                <w:rFonts w:ascii="標楷體" w:eastAsia="標楷體" w:hAnsi="標楷體" w:cs="標楷體"/>
                <w:noProof/>
                <w:sz w:val="28"/>
                <w:szCs w:val="22"/>
              </w:rPr>
              <w:t>主持人</w:t>
            </w:r>
          </w:p>
        </w:tc>
        <w:tc>
          <w:tcPr>
            <w:tcW w:w="966" w:type="pct"/>
            <w:shd w:val="clear" w:color="auto" w:fill="F2F2F2" w:themeFill="background1" w:themeFillShade="F2"/>
          </w:tcPr>
          <w:p w:rsidR="00EF326F" w:rsidRPr="00842396" w:rsidRDefault="00EF326F" w:rsidP="006E127F">
            <w:pPr>
              <w:adjustRightInd w:val="0"/>
              <w:snapToGrid w:val="0"/>
              <w:spacing w:line="400" w:lineRule="atLeast"/>
              <w:jc w:val="center"/>
              <w:outlineLvl w:val="2"/>
              <w:rPr>
                <w:rFonts w:ascii="標楷體" w:eastAsia="標楷體" w:hAnsi="標楷體" w:cs="標楷體"/>
                <w:noProof/>
                <w:sz w:val="28"/>
                <w:szCs w:val="22"/>
              </w:rPr>
            </w:pPr>
            <w:r>
              <w:rPr>
                <w:rFonts w:ascii="標楷體" w:eastAsia="標楷體" w:hAnsi="標楷體" w:cs="標楷體" w:hint="eastAsia"/>
                <w:noProof/>
                <w:sz w:val="28"/>
                <w:szCs w:val="22"/>
              </w:rPr>
              <w:t>備註</w:t>
            </w:r>
          </w:p>
        </w:tc>
      </w:tr>
      <w:tr w:rsidR="00EF326F" w:rsidRPr="00842396" w:rsidTr="001E52A5">
        <w:trPr>
          <w:trHeight w:val="737"/>
        </w:trPr>
        <w:tc>
          <w:tcPr>
            <w:tcW w:w="690" w:type="pct"/>
            <w:vAlign w:val="center"/>
          </w:tcPr>
          <w:p w:rsidR="00EF326F" w:rsidRPr="00EF326F" w:rsidRDefault="00EF326F" w:rsidP="006E127F">
            <w:pPr>
              <w:adjustRightInd w:val="0"/>
              <w:snapToGrid w:val="0"/>
              <w:spacing w:line="400" w:lineRule="atLeast"/>
              <w:jc w:val="center"/>
              <w:outlineLvl w:val="2"/>
              <w:rPr>
                <w:rFonts w:ascii="標楷體" w:eastAsia="標楷體" w:hAnsi="標楷體" w:cs="標楷體"/>
                <w:b/>
                <w:noProof/>
                <w:szCs w:val="22"/>
              </w:rPr>
            </w:pPr>
            <w:r w:rsidRPr="00EF326F">
              <w:rPr>
                <w:rFonts w:ascii="標楷體" w:eastAsia="標楷體" w:hAnsi="標楷體" w:cs="標楷體" w:hint="eastAsia"/>
                <w:b/>
                <w:noProof/>
                <w:szCs w:val="22"/>
              </w:rPr>
              <w:t>109.9.17</w:t>
            </w:r>
          </w:p>
        </w:tc>
        <w:tc>
          <w:tcPr>
            <w:tcW w:w="825" w:type="pct"/>
            <w:vAlign w:val="center"/>
          </w:tcPr>
          <w:p w:rsidR="00E307C2" w:rsidRDefault="00EF326F" w:rsidP="006E127F">
            <w:pPr>
              <w:adjustRightInd w:val="0"/>
              <w:snapToGrid w:val="0"/>
              <w:spacing w:line="400" w:lineRule="atLeast"/>
              <w:jc w:val="center"/>
              <w:outlineLvl w:val="2"/>
              <w:rPr>
                <w:rFonts w:ascii="標楷體" w:eastAsia="標楷體" w:hAnsi="標楷體" w:cs="標楷體"/>
                <w:b/>
                <w:noProof/>
                <w:szCs w:val="22"/>
              </w:rPr>
            </w:pPr>
            <w:r w:rsidRPr="00EF326F">
              <w:rPr>
                <w:rFonts w:ascii="標楷體" w:eastAsia="標楷體" w:hAnsi="標楷體" w:cs="標楷體" w:hint="eastAsia"/>
                <w:b/>
                <w:noProof/>
                <w:szCs w:val="22"/>
              </w:rPr>
              <w:t>13：30</w:t>
            </w:r>
          </w:p>
          <w:p w:rsidR="00EF326F" w:rsidRPr="00EF326F" w:rsidRDefault="00EF326F" w:rsidP="006E127F">
            <w:pPr>
              <w:adjustRightInd w:val="0"/>
              <w:snapToGrid w:val="0"/>
              <w:spacing w:line="400" w:lineRule="atLeast"/>
              <w:jc w:val="center"/>
              <w:outlineLvl w:val="2"/>
              <w:rPr>
                <w:rFonts w:ascii="標楷體" w:eastAsia="標楷體" w:hAnsi="標楷體" w:cs="標楷體"/>
                <w:b/>
                <w:noProof/>
                <w:szCs w:val="22"/>
              </w:rPr>
            </w:pPr>
            <w:r w:rsidRPr="00EF326F">
              <w:rPr>
                <w:rFonts w:ascii="標楷體" w:eastAsia="標楷體" w:hAnsi="標楷體" w:cs="標楷體"/>
                <w:b/>
                <w:noProof/>
                <w:szCs w:val="22"/>
              </w:rPr>
              <w:t>-</w:t>
            </w:r>
            <w:r w:rsidRPr="00EF326F">
              <w:rPr>
                <w:rFonts w:ascii="標楷體" w:eastAsia="標楷體" w:hAnsi="標楷體" w:cs="標楷體" w:hint="eastAsia"/>
                <w:b/>
                <w:noProof/>
                <w:szCs w:val="22"/>
              </w:rPr>
              <w:t>16：</w:t>
            </w:r>
            <w:r w:rsidRPr="00EF326F">
              <w:rPr>
                <w:rFonts w:ascii="標楷體" w:eastAsia="標楷體" w:hAnsi="標楷體" w:cs="標楷體"/>
                <w:b/>
                <w:noProof/>
                <w:szCs w:val="22"/>
              </w:rPr>
              <w:t>30</w:t>
            </w:r>
          </w:p>
        </w:tc>
        <w:tc>
          <w:tcPr>
            <w:tcW w:w="1552" w:type="pct"/>
            <w:vAlign w:val="center"/>
          </w:tcPr>
          <w:p w:rsidR="00EF326F" w:rsidRPr="00EF326F" w:rsidRDefault="00EF326F" w:rsidP="006E127F">
            <w:pPr>
              <w:adjustRightInd w:val="0"/>
              <w:snapToGrid w:val="0"/>
              <w:spacing w:line="400" w:lineRule="atLeast"/>
              <w:outlineLvl w:val="2"/>
              <w:rPr>
                <w:rFonts w:ascii="標楷體" w:eastAsia="標楷體" w:hAnsi="標楷體" w:cs="標楷體"/>
                <w:b/>
                <w:noProof/>
                <w:szCs w:val="28"/>
              </w:rPr>
            </w:pPr>
            <w:r w:rsidRPr="00EF326F">
              <w:rPr>
                <w:rFonts w:ascii="標楷體" w:eastAsia="標楷體" w:hAnsi="標楷體" w:cs="標楷體" w:hint="eastAsia"/>
                <w:b/>
                <w:noProof/>
                <w:szCs w:val="22"/>
              </w:rPr>
              <w:t>數學領域素養導向評量示例與設計</w:t>
            </w:r>
            <w:r w:rsidR="006B4D31" w:rsidRPr="005E145B">
              <w:rPr>
                <w:rFonts w:ascii="標楷體" w:eastAsia="標楷體" w:hAnsi="標楷體" w:cs="標楷體" w:hint="eastAsia"/>
                <w:noProof/>
                <w:szCs w:val="22"/>
              </w:rPr>
              <w:t>Ｉ</w:t>
            </w:r>
          </w:p>
        </w:tc>
        <w:tc>
          <w:tcPr>
            <w:tcW w:w="967" w:type="pct"/>
            <w:vAlign w:val="center"/>
          </w:tcPr>
          <w:p w:rsidR="00EF326F" w:rsidRPr="00EF326F" w:rsidRDefault="00EF326F" w:rsidP="006E127F">
            <w:pPr>
              <w:adjustRightInd w:val="0"/>
              <w:snapToGrid w:val="0"/>
              <w:spacing w:line="400" w:lineRule="atLeast"/>
              <w:jc w:val="center"/>
              <w:outlineLvl w:val="2"/>
              <w:rPr>
                <w:rFonts w:ascii="標楷體" w:eastAsia="標楷體" w:hAnsi="標楷體" w:cs="標楷體"/>
                <w:b/>
                <w:noProof/>
                <w:szCs w:val="22"/>
              </w:rPr>
            </w:pPr>
            <w:r w:rsidRPr="00EF326F">
              <w:rPr>
                <w:rFonts w:ascii="標楷體" w:eastAsia="標楷體" w:hAnsi="標楷體" w:cs="標楷體" w:hint="eastAsia"/>
                <w:b/>
                <w:noProof/>
                <w:szCs w:val="22"/>
              </w:rPr>
              <w:t>央團輔導員</w:t>
            </w:r>
          </w:p>
          <w:p w:rsidR="00EF326F" w:rsidRPr="00EF326F" w:rsidRDefault="00EF326F" w:rsidP="006E127F">
            <w:pPr>
              <w:adjustRightInd w:val="0"/>
              <w:snapToGrid w:val="0"/>
              <w:spacing w:line="400" w:lineRule="atLeast"/>
              <w:jc w:val="center"/>
              <w:outlineLvl w:val="2"/>
              <w:rPr>
                <w:rFonts w:ascii="標楷體" w:eastAsia="標楷體" w:hAnsi="標楷體" w:cs="標楷體"/>
                <w:b/>
                <w:noProof/>
                <w:szCs w:val="22"/>
              </w:rPr>
            </w:pPr>
            <w:r w:rsidRPr="00EF326F">
              <w:rPr>
                <w:rFonts w:ascii="標楷體" w:eastAsia="標楷體" w:hAnsi="標楷體" w:cs="標楷體" w:hint="eastAsia"/>
                <w:b/>
                <w:noProof/>
                <w:szCs w:val="22"/>
              </w:rPr>
              <w:t>劉建成老師</w:t>
            </w:r>
          </w:p>
        </w:tc>
        <w:tc>
          <w:tcPr>
            <w:tcW w:w="966" w:type="pct"/>
          </w:tcPr>
          <w:p w:rsidR="00EF326F" w:rsidRPr="00EF326F" w:rsidRDefault="00EF326F" w:rsidP="006E127F">
            <w:pPr>
              <w:adjustRightInd w:val="0"/>
              <w:snapToGrid w:val="0"/>
              <w:spacing w:line="400" w:lineRule="atLeast"/>
              <w:jc w:val="center"/>
              <w:outlineLvl w:val="2"/>
              <w:rPr>
                <w:rFonts w:ascii="標楷體" w:eastAsia="標楷體" w:hAnsi="標楷體" w:cs="標楷體"/>
                <w:b/>
                <w:noProof/>
                <w:szCs w:val="22"/>
              </w:rPr>
            </w:pPr>
            <w:r>
              <w:rPr>
                <w:rFonts w:ascii="標楷體" w:eastAsia="標楷體" w:hAnsi="標楷體" w:cs="標楷體" w:hint="eastAsia"/>
                <w:b/>
                <w:noProof/>
                <w:szCs w:val="22"/>
              </w:rPr>
              <w:t>本場次</w:t>
            </w:r>
          </w:p>
        </w:tc>
      </w:tr>
      <w:tr w:rsidR="00EF326F" w:rsidRPr="00842396" w:rsidTr="001E52A5">
        <w:trPr>
          <w:trHeight w:val="737"/>
        </w:trPr>
        <w:tc>
          <w:tcPr>
            <w:tcW w:w="690" w:type="pct"/>
            <w:vAlign w:val="center"/>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109.11.19</w:t>
            </w:r>
          </w:p>
        </w:tc>
        <w:tc>
          <w:tcPr>
            <w:tcW w:w="825" w:type="pct"/>
            <w:vAlign w:val="center"/>
          </w:tcPr>
          <w:p w:rsidR="00E307C2"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13：30</w:t>
            </w:r>
          </w:p>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Pr>
                <w:rFonts w:ascii="標楷體" w:eastAsia="標楷體" w:hAnsi="標楷體" w:cs="標楷體"/>
                <w:noProof/>
                <w:szCs w:val="22"/>
              </w:rPr>
              <w:t>-</w:t>
            </w:r>
            <w:r w:rsidRPr="005E145B">
              <w:rPr>
                <w:rFonts w:ascii="標楷體" w:eastAsia="標楷體" w:hAnsi="標楷體" w:cs="標楷體" w:hint="eastAsia"/>
                <w:noProof/>
                <w:szCs w:val="22"/>
              </w:rPr>
              <w:t>16：</w:t>
            </w:r>
            <w:r w:rsidRPr="005E145B">
              <w:rPr>
                <w:rFonts w:ascii="標楷體" w:eastAsia="標楷體" w:hAnsi="標楷體" w:cs="標楷體"/>
                <w:noProof/>
                <w:szCs w:val="22"/>
              </w:rPr>
              <w:t>30</w:t>
            </w:r>
          </w:p>
        </w:tc>
        <w:tc>
          <w:tcPr>
            <w:tcW w:w="1552" w:type="pct"/>
            <w:vAlign w:val="center"/>
          </w:tcPr>
          <w:p w:rsidR="00EF326F" w:rsidRPr="006B4D31" w:rsidRDefault="006B4D31" w:rsidP="006E127F">
            <w:pPr>
              <w:adjustRightInd w:val="0"/>
              <w:snapToGrid w:val="0"/>
              <w:spacing w:line="400" w:lineRule="atLeast"/>
              <w:outlineLvl w:val="2"/>
              <w:rPr>
                <w:rFonts w:ascii="標楷體" w:eastAsia="標楷體" w:hAnsi="標楷體" w:cs="標楷體"/>
                <w:noProof/>
                <w:szCs w:val="22"/>
              </w:rPr>
            </w:pPr>
            <w:r w:rsidRPr="006B4D31">
              <w:rPr>
                <w:rFonts w:ascii="標楷體" w:eastAsia="標楷體" w:hAnsi="標楷體" w:cs="標楷體" w:hint="eastAsia"/>
                <w:noProof/>
                <w:szCs w:val="22"/>
              </w:rPr>
              <w:t>數學領域素養導向評量示例與設計Ⅱ</w:t>
            </w:r>
          </w:p>
        </w:tc>
        <w:tc>
          <w:tcPr>
            <w:tcW w:w="967" w:type="pct"/>
            <w:vAlign w:val="center"/>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Pr>
                <w:rFonts w:ascii="標楷體" w:eastAsia="標楷體" w:hAnsi="標楷體" w:cs="標楷體" w:hint="eastAsia"/>
                <w:noProof/>
                <w:szCs w:val="22"/>
              </w:rPr>
              <w:t>外聘專家學者</w:t>
            </w:r>
          </w:p>
        </w:tc>
        <w:tc>
          <w:tcPr>
            <w:tcW w:w="966" w:type="pct"/>
          </w:tcPr>
          <w:p w:rsidR="00EF326F" w:rsidRDefault="00EF326F" w:rsidP="006E127F">
            <w:pPr>
              <w:adjustRightInd w:val="0"/>
              <w:snapToGrid w:val="0"/>
              <w:spacing w:line="400" w:lineRule="atLeast"/>
              <w:jc w:val="center"/>
              <w:outlineLvl w:val="2"/>
              <w:rPr>
                <w:rFonts w:ascii="標楷體" w:eastAsia="標楷體" w:hAnsi="標楷體" w:cs="標楷體"/>
                <w:noProof/>
                <w:szCs w:val="22"/>
              </w:rPr>
            </w:pPr>
          </w:p>
        </w:tc>
      </w:tr>
      <w:tr w:rsidR="00EF326F" w:rsidRPr="00842396" w:rsidTr="001E52A5">
        <w:trPr>
          <w:trHeight w:val="737"/>
        </w:trPr>
        <w:tc>
          <w:tcPr>
            <w:tcW w:w="690" w:type="pct"/>
            <w:vAlign w:val="center"/>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110.3.25</w:t>
            </w:r>
          </w:p>
        </w:tc>
        <w:tc>
          <w:tcPr>
            <w:tcW w:w="825" w:type="pct"/>
            <w:vAlign w:val="center"/>
          </w:tcPr>
          <w:p w:rsidR="00E307C2"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13：30</w:t>
            </w:r>
          </w:p>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Pr>
                <w:rFonts w:ascii="標楷體" w:eastAsia="標楷體" w:hAnsi="標楷體" w:cs="標楷體"/>
                <w:noProof/>
                <w:szCs w:val="22"/>
              </w:rPr>
              <w:t>-</w:t>
            </w:r>
            <w:r w:rsidRPr="005E145B">
              <w:rPr>
                <w:rFonts w:ascii="標楷體" w:eastAsia="標楷體" w:hAnsi="標楷體" w:cs="標楷體" w:hint="eastAsia"/>
                <w:noProof/>
                <w:szCs w:val="22"/>
              </w:rPr>
              <w:t>16：</w:t>
            </w:r>
            <w:r w:rsidRPr="005E145B">
              <w:rPr>
                <w:rFonts w:ascii="標楷體" w:eastAsia="標楷體" w:hAnsi="標楷體" w:cs="標楷體"/>
                <w:noProof/>
                <w:szCs w:val="22"/>
              </w:rPr>
              <w:t>30</w:t>
            </w:r>
          </w:p>
        </w:tc>
        <w:tc>
          <w:tcPr>
            <w:tcW w:w="1552" w:type="pct"/>
            <w:vAlign w:val="center"/>
          </w:tcPr>
          <w:p w:rsidR="00EF326F" w:rsidRPr="005E145B" w:rsidRDefault="00EF326F" w:rsidP="006E127F">
            <w:pPr>
              <w:adjustRightInd w:val="0"/>
              <w:snapToGrid w:val="0"/>
              <w:spacing w:line="400" w:lineRule="atLeast"/>
              <w:outlineLvl w:val="2"/>
              <w:rPr>
                <w:rFonts w:ascii="標楷體" w:eastAsia="標楷體" w:hAnsi="標楷體" w:cs="標楷體"/>
                <w:noProof/>
                <w:szCs w:val="22"/>
              </w:rPr>
            </w:pPr>
            <w:r w:rsidRPr="005E145B">
              <w:rPr>
                <w:rFonts w:ascii="標楷體" w:eastAsia="標楷體" w:hAnsi="標楷體" w:cs="標楷體" w:hint="eastAsia"/>
                <w:noProof/>
                <w:szCs w:val="22"/>
              </w:rPr>
              <w:t>數學素養及評量工具</w:t>
            </w:r>
          </w:p>
        </w:tc>
        <w:tc>
          <w:tcPr>
            <w:tcW w:w="967" w:type="pct"/>
            <w:vAlign w:val="center"/>
          </w:tcPr>
          <w:p w:rsidR="00EF326F"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 xml:space="preserve">外聘宜蘭縣課程督學 </w:t>
            </w:r>
          </w:p>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陸昱任督學</w:t>
            </w:r>
          </w:p>
        </w:tc>
        <w:tc>
          <w:tcPr>
            <w:tcW w:w="966" w:type="pct"/>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p>
        </w:tc>
      </w:tr>
      <w:tr w:rsidR="00EF326F" w:rsidRPr="00842396" w:rsidTr="001E52A5">
        <w:trPr>
          <w:trHeight w:val="737"/>
        </w:trPr>
        <w:tc>
          <w:tcPr>
            <w:tcW w:w="690" w:type="pct"/>
            <w:vAlign w:val="center"/>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110.5.20</w:t>
            </w:r>
          </w:p>
        </w:tc>
        <w:tc>
          <w:tcPr>
            <w:tcW w:w="825" w:type="pct"/>
            <w:vAlign w:val="center"/>
          </w:tcPr>
          <w:p w:rsidR="00E307C2"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13：30</w:t>
            </w:r>
          </w:p>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Pr>
                <w:rFonts w:ascii="標楷體" w:eastAsia="標楷體" w:hAnsi="標楷體" w:cs="標楷體"/>
                <w:noProof/>
                <w:szCs w:val="22"/>
              </w:rPr>
              <w:t>-</w:t>
            </w:r>
            <w:r w:rsidRPr="005E145B">
              <w:rPr>
                <w:rFonts w:ascii="標楷體" w:eastAsia="標楷體" w:hAnsi="標楷體" w:cs="標楷體" w:hint="eastAsia"/>
                <w:noProof/>
                <w:szCs w:val="22"/>
              </w:rPr>
              <w:t>16：</w:t>
            </w:r>
            <w:r w:rsidRPr="005E145B">
              <w:rPr>
                <w:rFonts w:ascii="標楷體" w:eastAsia="標楷體" w:hAnsi="標楷體" w:cs="標楷體"/>
                <w:noProof/>
                <w:szCs w:val="22"/>
              </w:rPr>
              <w:t>30</w:t>
            </w:r>
          </w:p>
        </w:tc>
        <w:tc>
          <w:tcPr>
            <w:tcW w:w="1552" w:type="pct"/>
            <w:vAlign w:val="center"/>
          </w:tcPr>
          <w:p w:rsidR="00EF326F" w:rsidRPr="005E145B" w:rsidRDefault="00EF326F" w:rsidP="006B4D31">
            <w:pPr>
              <w:adjustRightInd w:val="0"/>
              <w:snapToGrid w:val="0"/>
              <w:spacing w:line="400" w:lineRule="atLeast"/>
              <w:outlineLvl w:val="2"/>
              <w:rPr>
                <w:rFonts w:ascii="標楷體" w:eastAsia="標楷體" w:hAnsi="標楷體" w:cs="標楷體"/>
                <w:noProof/>
                <w:szCs w:val="22"/>
              </w:rPr>
            </w:pPr>
            <w:r w:rsidRPr="005E145B">
              <w:rPr>
                <w:rFonts w:ascii="標楷體" w:eastAsia="標楷體" w:hAnsi="標楷體" w:cs="標楷體" w:hint="eastAsia"/>
                <w:noProof/>
                <w:szCs w:val="22"/>
              </w:rPr>
              <w:t>素養課程</w:t>
            </w:r>
            <w:r w:rsidR="006B4D31">
              <w:rPr>
                <w:rFonts w:ascii="標楷體" w:eastAsia="標楷體" w:hAnsi="標楷體" w:cs="標楷體" w:hint="eastAsia"/>
                <w:noProof/>
                <w:szCs w:val="22"/>
              </w:rPr>
              <w:t>與評量</w:t>
            </w:r>
            <w:r w:rsidRPr="005E145B">
              <w:rPr>
                <w:rFonts w:ascii="標楷體" w:eastAsia="標楷體" w:hAnsi="標楷體" w:cs="標楷體" w:hint="eastAsia"/>
                <w:noProof/>
                <w:szCs w:val="22"/>
              </w:rPr>
              <w:t>示例專業對話</w:t>
            </w:r>
          </w:p>
        </w:tc>
        <w:tc>
          <w:tcPr>
            <w:tcW w:w="967" w:type="pct"/>
            <w:vAlign w:val="center"/>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r w:rsidRPr="005E145B">
              <w:rPr>
                <w:rFonts w:ascii="標楷體" w:eastAsia="標楷體" w:hAnsi="標楷體" w:cs="標楷體" w:hint="eastAsia"/>
                <w:noProof/>
                <w:szCs w:val="22"/>
              </w:rPr>
              <w:t>地方數學輔導員</w:t>
            </w:r>
          </w:p>
        </w:tc>
        <w:tc>
          <w:tcPr>
            <w:tcW w:w="966" w:type="pct"/>
          </w:tcPr>
          <w:p w:rsidR="00EF326F" w:rsidRPr="005E145B" w:rsidRDefault="00EF326F" w:rsidP="006E127F">
            <w:pPr>
              <w:adjustRightInd w:val="0"/>
              <w:snapToGrid w:val="0"/>
              <w:spacing w:line="400" w:lineRule="atLeast"/>
              <w:jc w:val="center"/>
              <w:outlineLvl w:val="2"/>
              <w:rPr>
                <w:rFonts w:ascii="標楷體" w:eastAsia="標楷體" w:hAnsi="標楷體" w:cs="標楷體"/>
                <w:noProof/>
                <w:szCs w:val="22"/>
              </w:rPr>
            </w:pPr>
          </w:p>
        </w:tc>
      </w:tr>
    </w:tbl>
    <w:p w:rsidR="00B41764" w:rsidRDefault="00B41764" w:rsidP="00EF326F">
      <w:pPr>
        <w:spacing w:line="360" w:lineRule="auto"/>
      </w:pPr>
    </w:p>
    <w:sectPr w:rsidR="00B41764" w:rsidSect="00E307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CA" w:rsidRDefault="00B43CCA" w:rsidP="002D3F8C">
      <w:r>
        <w:separator/>
      </w:r>
    </w:p>
  </w:endnote>
  <w:endnote w:type="continuationSeparator" w:id="0">
    <w:p w:rsidR="00B43CCA" w:rsidRDefault="00B43CCA" w:rsidP="002D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CA" w:rsidRDefault="00B43CCA" w:rsidP="002D3F8C">
      <w:r>
        <w:separator/>
      </w:r>
    </w:p>
  </w:footnote>
  <w:footnote w:type="continuationSeparator" w:id="0">
    <w:p w:rsidR="00B43CCA" w:rsidRDefault="00B43CCA" w:rsidP="002D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6F"/>
    <w:rsid w:val="001E447A"/>
    <w:rsid w:val="001E52A5"/>
    <w:rsid w:val="002D3F8C"/>
    <w:rsid w:val="006B4D31"/>
    <w:rsid w:val="00791708"/>
    <w:rsid w:val="00B41764"/>
    <w:rsid w:val="00B43CCA"/>
    <w:rsid w:val="00E307C2"/>
    <w:rsid w:val="00EF326F"/>
    <w:rsid w:val="00F40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27A89-CB04-4D07-889A-8ED8A004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6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F8C"/>
    <w:pPr>
      <w:tabs>
        <w:tab w:val="center" w:pos="4153"/>
        <w:tab w:val="right" w:pos="8306"/>
      </w:tabs>
      <w:snapToGrid w:val="0"/>
    </w:pPr>
    <w:rPr>
      <w:sz w:val="20"/>
    </w:rPr>
  </w:style>
  <w:style w:type="character" w:customStyle="1" w:styleId="a4">
    <w:name w:val="頁首 字元"/>
    <w:basedOn w:val="a0"/>
    <w:link w:val="a3"/>
    <w:uiPriority w:val="99"/>
    <w:rsid w:val="002D3F8C"/>
    <w:rPr>
      <w:rFonts w:ascii="Times New Roman" w:eastAsia="新細明體" w:hAnsi="Times New Roman" w:cs="Times New Roman"/>
      <w:sz w:val="20"/>
      <w:szCs w:val="20"/>
    </w:rPr>
  </w:style>
  <w:style w:type="paragraph" w:styleId="a5">
    <w:name w:val="footer"/>
    <w:basedOn w:val="a"/>
    <w:link w:val="a6"/>
    <w:uiPriority w:val="99"/>
    <w:unhideWhenUsed/>
    <w:rsid w:val="002D3F8C"/>
    <w:pPr>
      <w:tabs>
        <w:tab w:val="center" w:pos="4153"/>
        <w:tab w:val="right" w:pos="8306"/>
      </w:tabs>
      <w:snapToGrid w:val="0"/>
    </w:pPr>
    <w:rPr>
      <w:sz w:val="20"/>
    </w:rPr>
  </w:style>
  <w:style w:type="character" w:customStyle="1" w:styleId="a6">
    <w:name w:val="頁尾 字元"/>
    <w:basedOn w:val="a0"/>
    <w:link w:val="a5"/>
    <w:uiPriority w:val="99"/>
    <w:rsid w:val="002D3F8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研發組組長</cp:lastModifiedBy>
  <cp:revision>2</cp:revision>
  <dcterms:created xsi:type="dcterms:W3CDTF">2020-09-10T01:55:00Z</dcterms:created>
  <dcterms:modified xsi:type="dcterms:W3CDTF">2020-09-10T01:55:00Z</dcterms:modified>
</cp:coreProperties>
</file>